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60" w:after="80" w:line="259" w:lineRule="auto"/>
        <w:jc w:val="center"/>
      </w:pPr>
      <w:r>
        <w:rPr>
          <w:rFonts w:ascii="Inter Display" w:hAnsi="Inter Display" w:eastAsia="Inter Display"/>
          <w:b/>
          <w:color w:val="1E4A32"/>
          <w:sz w:val="58"/>
        </w:rPr>
        <w:t>ARANCETO ZUDDAS</w:t>
      </w:r>
    </w:p>
    <w:p>
      <w:pPr>
        <w:keepNext w:val="0"/>
        <w:spacing w:before="0" w:after="160" w:line="259" w:lineRule="auto"/>
        <w:jc w:val="center"/>
      </w:pPr>
      <w:r>
        <w:rPr>
          <w:rFonts w:ascii="Inter Display" w:hAnsi="Inter Display" w:eastAsia="Inter Display"/>
          <w:b/>
          <w:color w:val="B86B36"/>
          <w:sz w:val="32"/>
        </w:rPr>
        <w:t>Dossier preliminare di presentazione</w:t>
      </w:r>
      <w:r>
        <w:rPr>
          <w:rFonts w:ascii="Lato" w:hAnsi="Lato" w:eastAsia="Lato"/>
          <w:color w:val="6B6B63"/>
          <w:sz w:val="22"/>
        </w:rPr>
        <w:br/>
        <w:t>Decimomannu, Sardegna</w:t>
      </w:r>
    </w:p>
    <w:p>
      <w:pPr>
        <w:keepNext w:val="0"/>
        <w:spacing w:before="40" w:after="4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446520" cy="458219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ro_2025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45821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40" w:after="120" w:line="240" w:lineRule="auto"/>
        <w:jc w:val="center"/>
      </w:pPr>
      <w:r>
        <w:rPr>
          <w:rFonts w:ascii="Lato" w:hAnsi="Lato" w:eastAsia="Lato"/>
          <w:i/>
          <w:color w:val="6B6B63"/>
          <w:sz w:val="15"/>
        </w:rPr>
        <w:t>Area delineata in modo indicativo su immagine Google Earth del 5 agosto 2025. Il perimetro non è catastale e deve essere verificato.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rPr>
          <w:cantSplit/>
        </w:trPr>
        <w:tc>
          <w:tcPr>
            <w:tcW w:type="dxa" w:w="3240"/>
            <w:shd w:fill="1E4A32"/>
            <w:tcMar>
              <w:top w:w="130" w:type="dxa"/>
              <w:start w:w="120" w:type="dxa"/>
              <w:bottom w:w="130" w:type="dxa"/>
              <w:end w:w="120" w:type="dxa"/>
            </w:tcMar>
            <w:vAlign w:val="center"/>
          </w:tcPr>
          <w:p>
            <w:pPr>
              <w:keepNext w:val="0"/>
              <w:spacing w:before="0" w:after="80" w:line="259" w:lineRule="auto"/>
              <w:jc w:val="center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SUPERFICIE INDICATIVA</w:t>
            </w:r>
          </w:p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Lato" w:hAnsi="Lato" w:eastAsia="Lato"/>
                <w:b/>
                <w:color w:val="FFFFFF"/>
                <w:sz w:val="21"/>
              </w:rPr>
              <w:t>circa 35 ettari</w:t>
              <w:br/>
              <w:t>85-87 acri</w:t>
            </w:r>
          </w:p>
        </w:tc>
        <w:tc>
          <w:tcPr>
            <w:tcW w:type="dxa" w:w="3240"/>
            <w:shd w:fill="B86B36"/>
            <w:tcMar>
              <w:top w:w="130" w:type="dxa"/>
              <w:start w:w="120" w:type="dxa"/>
              <w:bottom w:w="130" w:type="dxa"/>
              <w:end w:w="120" w:type="dxa"/>
            </w:tcMar>
            <w:vAlign w:val="center"/>
          </w:tcPr>
          <w:p>
            <w:pPr>
              <w:keepNext w:val="0"/>
              <w:spacing w:before="0" w:after="80" w:line="259" w:lineRule="auto"/>
              <w:jc w:val="center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PATRIMONIO ESISTENTE</w:t>
            </w:r>
          </w:p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Lato" w:hAnsi="Lato" w:eastAsia="Lato"/>
                <w:b/>
                <w:color w:val="FFFFFF"/>
                <w:sz w:val="21"/>
              </w:rPr>
              <w:t>2 fabbricati principali</w:t>
              <w:br/>
              <w:t>circa 10 serre</w:t>
            </w:r>
          </w:p>
        </w:tc>
        <w:tc>
          <w:tcPr>
            <w:tcW w:type="dxa" w:w="3240"/>
            <w:shd w:fill="1E4A32"/>
            <w:tcMar>
              <w:top w:w="130" w:type="dxa"/>
              <w:start w:w="120" w:type="dxa"/>
              <w:bottom w:w="130" w:type="dxa"/>
              <w:end w:w="120" w:type="dxa"/>
            </w:tcMar>
            <w:vAlign w:val="center"/>
          </w:tcPr>
          <w:p>
            <w:pPr>
              <w:keepNext w:val="0"/>
              <w:spacing w:before="0" w:after="80" w:line="259" w:lineRule="auto"/>
              <w:jc w:val="center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OBIETTIVO</w:t>
            </w:r>
          </w:p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Lato" w:hAnsi="Lato" w:eastAsia="Lato"/>
                <w:b/>
                <w:color w:val="FFFFFF"/>
                <w:sz w:val="21"/>
              </w:rPr>
              <w:t>partner operativo</w:t>
              <w:br/>
              <w:t>di lungo periodo</w:t>
            </w:r>
          </w:p>
        </w:tc>
      </w:tr>
    </w:tbl>
    <w:p>
      <w:pPr>
        <w:keepNext w:val="0"/>
        <w:spacing w:before="200" w:after="0" w:line="259" w:lineRule="auto"/>
        <w:jc w:val="center"/>
      </w:pPr>
      <w:r>
        <w:rPr>
          <w:rFonts w:ascii="Inter Display" w:hAnsi="Inter Display" w:eastAsia="Inter Display"/>
          <w:b/>
          <w:color w:val="1E4A32"/>
          <w:sz w:val="24"/>
        </w:rPr>
        <w:t>Opportunità privata di valorizzazione agricola, gestionale e progettuale</w:t>
      </w:r>
    </w:p>
    <w:p>
      <w:pPr>
        <w:keepNext w:val="0"/>
        <w:spacing w:before="0" w:after="0" w:line="259" w:lineRule="auto"/>
        <w:jc w:val="center"/>
      </w:pPr>
      <w:r>
        <w:rPr>
          <w:rFonts w:ascii="Lato" w:hAnsi="Lato" w:eastAsia="Lato"/>
          <w:i/>
          <w:color w:val="6B6B63"/>
          <w:sz w:val="17"/>
        </w:rPr>
        <w:t>Documento di lavoro destinato a interlocutori qualificati. Tutti i dati tecnici, urbanistici, catastali e autorizzativi sono soggetti a verifica.</w:t>
      </w:r>
    </w:p>
    <w:p>
      <w:r>
        <w:br w:type="page"/>
      </w:r>
    </w:p>
    <w:p>
      <w:pPr>
        <w:pStyle w:val="Heading1"/>
        <w:keepNext/>
        <w:spacing w:before="100" w:after="140" w:line="240" w:lineRule="auto"/>
      </w:pPr>
      <w:r>
        <w:rPr>
          <w:rFonts w:ascii="Inter Display" w:hAnsi="Inter Display" w:eastAsia="Inter Display"/>
          <w:b/>
          <w:color w:val="B86B36"/>
          <w:sz w:val="34"/>
        </w:rPr>
        <w:t xml:space="preserve">1  </w:t>
      </w:r>
      <w:r>
        <w:rPr>
          <w:rFonts w:ascii="Inter Display" w:hAnsi="Inter Display" w:eastAsia="Inter Display"/>
          <w:b/>
          <w:color w:val="1E4A32"/>
          <w:sz w:val="34"/>
        </w:rPr>
        <w:t>Sintesi dell’opportunità</w:t>
      </w:r>
    </w:p>
    <w:p>
      <w:pPr>
        <w:keepNext w:val="0"/>
        <w:pBdr>
          <w:bottom w:val="single" w:sz="10" w:space="1" w:color="C99A45"/>
        </w:pBdr>
        <w:spacing w:before="0" w:after="100" w:line="259" w:lineRule="auto"/>
      </w:pPr>
    </w:p>
    <w:p>
      <w:pPr>
        <w:keepNext w:val="0"/>
        <w:spacing w:before="0" w:after="100" w:line="278" w:lineRule="auto"/>
      </w:pPr>
      <w:r>
        <w:rPr>
          <w:rFonts w:ascii="Lato" w:hAnsi="Lato" w:eastAsia="Lato"/>
          <w:i w:val="0"/>
          <w:color w:val="222222"/>
          <w:sz w:val="19"/>
        </w:rPr>
        <w:t>L’Aranceto Zuddas è una proprietà agricola di scala significativa situata nell’area di Decimomannu, in Sardegna. La famiglia intende preservarne la proprietà e individuare operatori, imprese, cooperative o partner strategici capaci di apportare capitale, competenze, gestione e una visione sostenibile di lungo periodo.</w:t>
      </w:r>
    </w:p>
    <w:p>
      <w:pPr>
        <w:keepNext w:val="0"/>
        <w:spacing w:before="0" w:after="100" w:line="278" w:lineRule="auto"/>
      </w:pPr>
      <w:r>
        <w:rPr>
          <w:rFonts w:ascii="Lato" w:hAnsi="Lato" w:eastAsia="Lato"/>
          <w:i w:val="0"/>
          <w:color w:val="222222"/>
          <w:sz w:val="19"/>
        </w:rPr>
        <w:t>Il sito e questo dossier non presentano il fondo come un normale annuncio immobiliare. L’obiettivo è avviare un processo professionale di ricerca e selezione di soggetti in grado di recuperare, utilizzare e valorizzare il patrimonio agricolo ed edilizio esistente, nel rispetto delle verifiche tecniche e delle autorizzazioni necessarie.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cantSplit/>
        </w:trPr>
        <w:tc>
          <w:tcPr>
            <w:tcW w:type="dxa" w:w="10148"/>
            <w:shd w:fill="E8F0EA"/>
            <w:tcMar>
              <w:top w:w="180" w:type="dxa"/>
              <w:start w:w="220" w:type="dxa"/>
              <w:bottom w:w="180" w:type="dxa"/>
              <w:end w:w="220" w:type="dxa"/>
            </w:tcMar>
            <w:tcBorders>
              <w:left w:sz="18" w:val="single" w:color="1E4A32"/>
            </w:tcBorders>
          </w:tcPr>
          <w:p>
            <w:pPr>
              <w:keepNext w:val="0"/>
              <w:spacing w:before="0" w:after="8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22"/>
              </w:rPr>
              <w:t>POSIZIONAMENTO CONSIGLIATO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Lato" w:hAnsi="Lato" w:eastAsia="Lato"/>
                <w:color w:val="222222"/>
                <w:sz w:val="18"/>
              </w:rPr>
              <w:t>Una grande proprietà agricola familiare con strutture esistenti, memoria produttiva e possibilità di sviluppo per fasi, disponibile per collaborazioni operative e contrattuali di lungo periodo con soggetti qualificati.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40" w:after="140" w:line="240" w:lineRule="auto"/>
      </w:pPr>
      <w:r>
        <w:rPr>
          <w:rFonts w:ascii="Inter Display" w:hAnsi="Inter Display" w:eastAsia="Inter Display"/>
          <w:b/>
          <w:color w:val="1E4A32"/>
          <w:sz w:val="26"/>
        </w:rPr>
        <w:t>Dati chiave preliminari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rPr>
          <w:tblHeader w:val="true"/>
          <w:cantSplit/>
        </w:trPr>
        <w:tc>
          <w:tcPr>
            <w:tcW w:type="dxa" w:w="3383"/>
            <w:shd w:fill="1E4A32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7"/>
              </w:rPr>
              <w:t>Elemento</w:t>
            </w:r>
          </w:p>
        </w:tc>
        <w:tc>
          <w:tcPr>
            <w:tcW w:type="dxa" w:w="3383"/>
            <w:shd w:fill="1E4A32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7"/>
              </w:rPr>
              <w:t>Informazione preliminare</w:t>
            </w:r>
          </w:p>
        </w:tc>
        <w:tc>
          <w:tcPr>
            <w:tcW w:type="dxa" w:w="3383"/>
            <w:shd w:fill="1E4A32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7"/>
              </w:rPr>
              <w:t>Livello di conferma</w:t>
            </w:r>
          </w:p>
        </w:tc>
      </w:tr>
      <w:tr>
        <w:trPr>
          <w:cantSplit/>
        </w:trPr>
        <w:tc>
          <w:tcPr>
            <w:tcW w:type="dxa" w:w="208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/>
                <w:color w:val="1E4A32"/>
                <w:sz w:val="17"/>
              </w:rPr>
              <w:t>Superficie</w:t>
            </w:r>
          </w:p>
        </w:tc>
        <w:tc>
          <w:tcPr>
            <w:tcW w:type="dxa" w:w="4680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Circa 35 ettari, equivalenti a circa 85-87 acri</w:t>
            </w:r>
          </w:p>
        </w:tc>
        <w:tc>
          <w:tcPr>
            <w:tcW w:type="dxa" w:w="316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Stima indicativa comunicata dal referente</w:t>
            </w:r>
          </w:p>
        </w:tc>
      </w:tr>
      <w:tr>
        <w:trPr>
          <w:cantSplit/>
        </w:trPr>
        <w:tc>
          <w:tcPr>
            <w:tcW w:type="dxa" w:w="2088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/>
                <w:color w:val="1E4A32"/>
                <w:sz w:val="17"/>
              </w:rPr>
              <w:t>Configurazione</w:t>
            </w:r>
          </w:p>
        </w:tc>
        <w:tc>
          <w:tcPr>
            <w:tcW w:type="dxa" w:w="4680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Perimetro irregolare e sostanzialmente continuo, con due blocchi principali e un collegamento stretto verso sud-est</w:t>
            </w:r>
          </w:p>
        </w:tc>
        <w:tc>
          <w:tcPr>
            <w:tcW w:type="dxa" w:w="3168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Lettura grafica delle immagini</w:t>
            </w:r>
          </w:p>
        </w:tc>
      </w:tr>
      <w:tr>
        <w:trPr>
          <w:cantSplit/>
        </w:trPr>
        <w:tc>
          <w:tcPr>
            <w:tcW w:type="dxa" w:w="208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/>
                <w:color w:val="1E4A32"/>
                <w:sz w:val="17"/>
              </w:rPr>
              <w:t>Fabbricati</w:t>
            </w:r>
          </w:p>
        </w:tc>
        <w:tc>
          <w:tcPr>
            <w:tcW w:type="dxa" w:w="4680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Due fabbricati principali di grandi dimensioni</w:t>
            </w:r>
          </w:p>
        </w:tc>
        <w:tc>
          <w:tcPr>
            <w:tcW w:type="dxa" w:w="316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Informazione preliminare da verificare</w:t>
            </w:r>
          </w:p>
        </w:tc>
      </w:tr>
      <w:tr>
        <w:trPr>
          <w:cantSplit/>
        </w:trPr>
        <w:tc>
          <w:tcPr>
            <w:tcW w:type="dxa" w:w="2088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/>
                <w:color w:val="1E4A32"/>
                <w:sz w:val="17"/>
              </w:rPr>
              <w:t>Serre</w:t>
            </w:r>
          </w:p>
        </w:tc>
        <w:tc>
          <w:tcPr>
            <w:tcW w:type="dxa" w:w="4680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Circa 10 serre di grandi dimensioni</w:t>
            </w:r>
          </w:p>
        </w:tc>
        <w:tc>
          <w:tcPr>
            <w:tcW w:type="dxa" w:w="3168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Informazione preliminare; conteggio e stato da rilevare</w:t>
            </w:r>
          </w:p>
        </w:tc>
      </w:tr>
      <w:tr>
        <w:trPr>
          <w:cantSplit/>
        </w:trPr>
        <w:tc>
          <w:tcPr>
            <w:tcW w:type="dxa" w:w="208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/>
                <w:color w:val="1E4A32"/>
                <w:sz w:val="17"/>
              </w:rPr>
              <w:t>Strutture accessorie</w:t>
            </w:r>
          </w:p>
        </w:tc>
        <w:tc>
          <w:tcPr>
            <w:tcW w:type="dxa" w:w="4680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Piccoli fabbricati tecnici e di servizio</w:t>
            </w:r>
          </w:p>
        </w:tc>
        <w:tc>
          <w:tcPr>
            <w:tcW w:type="dxa" w:w="316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Informazione preliminare</w:t>
            </w:r>
          </w:p>
        </w:tc>
      </w:tr>
      <w:tr>
        <w:trPr>
          <w:cantSplit/>
        </w:trPr>
        <w:tc>
          <w:tcPr>
            <w:tcW w:type="dxa" w:w="2088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/>
                <w:color w:val="1E4A32"/>
                <w:sz w:val="17"/>
              </w:rPr>
              <w:t>Acqua e irrigazione</w:t>
            </w:r>
          </w:p>
        </w:tc>
        <w:tc>
          <w:tcPr>
            <w:tcW w:type="dxa" w:w="4680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Presenza riferita di impianto irriguo e almeno un pozzo</w:t>
            </w:r>
          </w:p>
        </w:tc>
        <w:tc>
          <w:tcPr>
            <w:tcW w:type="dxa" w:w="3168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Da verificare tecnicamente e documentalmente</w:t>
            </w:r>
          </w:p>
        </w:tc>
      </w:tr>
      <w:tr>
        <w:trPr>
          <w:cantSplit/>
        </w:trPr>
        <w:tc>
          <w:tcPr>
            <w:tcW w:type="dxa" w:w="208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/>
                <w:color w:val="1E4A32"/>
                <w:sz w:val="17"/>
              </w:rPr>
              <w:t>Uso storico</w:t>
            </w:r>
          </w:p>
        </w:tc>
        <w:tc>
          <w:tcPr>
            <w:tcW w:type="dxa" w:w="4680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Aranceto e attività agricola organizzata in filari e comparti</w:t>
            </w:r>
          </w:p>
        </w:tc>
        <w:tc>
          <w:tcPr>
            <w:tcW w:type="dxa" w:w="316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Coerente con la serie storica satellitare</w:t>
            </w:r>
          </w:p>
        </w:tc>
      </w:tr>
      <w:tr>
        <w:trPr>
          <w:cantSplit/>
        </w:trPr>
        <w:tc>
          <w:tcPr>
            <w:tcW w:type="dxa" w:w="2088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/>
                <w:color w:val="1E4A32"/>
                <w:sz w:val="17"/>
              </w:rPr>
              <w:t>Finalità</w:t>
            </w:r>
          </w:p>
        </w:tc>
        <w:tc>
          <w:tcPr>
            <w:tcW w:type="dxa" w:w="4680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Ricerca di partner operativi, investitori strategici e collaboratori</w:t>
            </w:r>
          </w:p>
        </w:tc>
        <w:tc>
          <w:tcPr>
            <w:tcW w:type="dxa" w:w="3168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Obiettivo di progetto</w:t>
            </w:r>
          </w:p>
        </w:tc>
      </w:tr>
    </w:tbl>
    <w:p>
      <w:pPr>
        <w:keepNext w:val="0"/>
        <w:spacing w:before="0" w:after="0" w:line="278" w:lineRule="auto"/>
      </w:pPr>
      <w:r>
        <w:rPr>
          <w:rFonts w:ascii="Lato" w:hAnsi="Lato" w:eastAsia="Lato"/>
          <w:i/>
          <w:color w:val="6B6B63"/>
          <w:sz w:val="16"/>
        </w:rPr>
        <w:t>Nota: 35 ettari corrispondono a circa 350.000 m². Il valore deve essere confermato mediante visure, estratti di mappa e rilievo tecnico.</w:t>
      </w:r>
    </w:p>
    <w:p>
      <w:r>
        <w:br w:type="page"/>
      </w:r>
    </w:p>
    <w:p>
      <w:pPr>
        <w:pStyle w:val="Heading1"/>
        <w:keepNext/>
        <w:spacing w:before="100" w:after="140" w:line="240" w:lineRule="auto"/>
      </w:pPr>
      <w:r>
        <w:rPr>
          <w:rFonts w:ascii="Inter Display" w:hAnsi="Inter Display" w:eastAsia="Inter Display"/>
          <w:b/>
          <w:color w:val="B86B36"/>
          <w:sz w:val="34"/>
        </w:rPr>
        <w:t xml:space="preserve">2  </w:t>
      </w:r>
      <w:r>
        <w:rPr>
          <w:rFonts w:ascii="Inter Display" w:hAnsi="Inter Display" w:eastAsia="Inter Display"/>
          <w:b/>
          <w:color w:val="1E4A32"/>
          <w:sz w:val="34"/>
        </w:rPr>
        <w:t>Lettura preliminare della forma e del contesto</w:t>
      </w:r>
    </w:p>
    <w:p>
      <w:pPr>
        <w:keepNext w:val="0"/>
        <w:pBdr>
          <w:bottom w:val="single" w:sz="10" w:space="1" w:color="C99A45"/>
        </w:pBdr>
        <w:spacing w:before="0" w:after="100" w:line="259" w:lineRule="auto"/>
      </w:pPr>
    </w:p>
    <w:p>
      <w:pPr>
        <w:keepNext w:val="0"/>
        <w:spacing w:before="40" w:after="4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446520" cy="458219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notated_202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45821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40" w:after="120" w:line="240" w:lineRule="auto"/>
        <w:jc w:val="center"/>
      </w:pPr>
      <w:r>
        <w:rPr>
          <w:rFonts w:ascii="Lato" w:hAnsi="Lato" w:eastAsia="Lato"/>
          <w:i/>
          <w:color w:val="6B6B63"/>
          <w:sz w:val="15"/>
        </w:rPr>
        <w:t>Annotazioni interpretative su immagine Google Earth del 5 agosto 2025. Le denominazioni delle aree sono descrittive e non definiscono suddivisioni legali.</w:t>
      </w:r>
    </w:p>
    <w:p>
      <w:pPr>
        <w:pStyle w:val="Heading2"/>
        <w:keepNext/>
        <w:spacing w:before="40" w:after="140" w:line="240" w:lineRule="auto"/>
      </w:pPr>
      <w:r>
        <w:rPr>
          <w:rFonts w:ascii="Inter Display" w:hAnsi="Inter Display" w:eastAsia="Inter Display"/>
          <w:b/>
          <w:color w:val="1E4A32"/>
          <w:sz w:val="26"/>
        </w:rPr>
        <w:t>Caratteristiche leggibili dalle immagini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La sagoma appare allungata prevalentemente in direzione nord-sud, con larghezza variabile e una superficie organizzata in più comparti agricoli.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Il blocco settentrionale costituisce la porzione più ampia e mostra una maglia di filari, piste interne e appezzamenti rettangolari.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Nella zona centrale è visibile un nucleo di fabbricati e strutture coperte compatibili con serre o impianti agricoli.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La parte sud-occidentale assume una forma triangolare ed è collegata al corpo principale attraverso una zona più stretta.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Un tracciato sottile prosegue verso sud-est e potrebbe rappresentare un accesso, una servitù o un collegamento; la sua natura deve essere verificata.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A ovest è presente un corridoio vegetato associato a un reticolo idrografico o canale; a est e sud-est è visibile un contesto agricolo intensivo con numerose serre.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Nell’angolo nord-occidentale delle immagini è visibile un’infrastruttura aeroportuale, elemento rilevante per future verifiche di vincoli e compatibilità.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cantSplit/>
        </w:trPr>
        <w:tc>
          <w:tcPr>
            <w:tcW w:type="dxa" w:w="10148"/>
            <w:shd w:fill="F3F0E7"/>
            <w:tcMar>
              <w:top w:w="180" w:type="dxa"/>
              <w:start w:w="220" w:type="dxa"/>
              <w:bottom w:w="180" w:type="dxa"/>
              <w:end w:w="220" w:type="dxa"/>
            </w:tcMar>
            <w:tcBorders>
              <w:left w:sz="18" w:val="single" w:color="B86B36"/>
            </w:tcBorders>
          </w:tcPr>
          <w:p>
            <w:pPr>
              <w:keepNext w:val="0"/>
              <w:spacing w:before="0" w:after="80" w:line="259" w:lineRule="auto"/>
            </w:pPr>
            <w:r>
              <w:rPr>
                <w:rFonts w:ascii="Inter Display" w:hAnsi="Inter Display" w:eastAsia="Inter Display"/>
                <w:b/>
                <w:color w:val="B86B36"/>
                <w:sz w:val="22"/>
              </w:rPr>
              <w:t>DIMENSIONI DI ORDINE DI GRANDEZZA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Lato" w:hAnsi="Lato" w:eastAsia="Lato"/>
                <w:color w:val="222222"/>
                <w:sz w:val="18"/>
              </w:rPr>
              <w:t>Usando esclusivamente la scala grafica delle schermate, l’area sembra svilupparsi per circa 1 km lungo l’asse maggiore, con una larghezza massima indicativa nell’ordine di 0,7-0,9 km. Questi valori sono soltanto orientativi e non devono essere utilizzati per finalità tecniche o contrattuali.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00" w:after="140" w:line="240" w:lineRule="auto"/>
      </w:pPr>
      <w:r>
        <w:rPr>
          <w:rFonts w:ascii="Inter Display" w:hAnsi="Inter Display" w:eastAsia="Inter Display"/>
          <w:b/>
          <w:color w:val="B86B36"/>
          <w:sz w:val="34"/>
        </w:rPr>
        <w:t xml:space="preserve">3  </w:t>
      </w:r>
      <w:r>
        <w:rPr>
          <w:rFonts w:ascii="Inter Display" w:hAnsi="Inter Display" w:eastAsia="Inter Display"/>
          <w:b/>
          <w:color w:val="1E4A32"/>
          <w:sz w:val="34"/>
        </w:rPr>
        <w:t>Patrimonio fisico esistente</w:t>
      </w:r>
    </w:p>
    <w:p>
      <w:pPr>
        <w:keepNext w:val="0"/>
        <w:pBdr>
          <w:bottom w:val="single" w:sz="10" w:space="1" w:color="C99A45"/>
        </w:pBdr>
        <w:spacing w:before="0" w:after="100" w:line="259" w:lineRule="auto"/>
      </w:pPr>
    </w:p>
    <w:p>
      <w:pPr>
        <w:keepNext w:val="0"/>
        <w:spacing w:before="0" w:after="100" w:line="278" w:lineRule="auto"/>
      </w:pPr>
      <w:r>
        <w:rPr>
          <w:rFonts w:ascii="Lato" w:hAnsi="Lato" w:eastAsia="Lato"/>
          <w:i w:val="0"/>
          <w:color w:val="222222"/>
          <w:sz w:val="19"/>
        </w:rPr>
        <w:t>Il valore iniziale della proprietà non deriva soltanto dalla superficie. Secondo le informazioni preliminari, il fondo dispone già di una base fisica che potrebbe ridurre i tempi di avvio di un progetto, purché lo stato e la regolarità di ogni elemento siano verificati.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37"/>
        <w:gridCol w:w="2537"/>
        <w:gridCol w:w="2537"/>
        <w:gridCol w:w="2537"/>
      </w:tblGrid>
      <w:tr>
        <w:trPr>
          <w:tblHeader w:val="true"/>
          <w:cantSplit/>
        </w:trPr>
        <w:tc>
          <w:tcPr>
            <w:tcW w:type="dxa" w:w="2537"/>
            <w:shd w:fill="1E4A32"/>
            <w:tcMar>
              <w:top w:w="95" w:type="dxa"/>
              <w:start w:w="80" w:type="dxa"/>
              <w:bottom w:w="95" w:type="dxa"/>
              <w:end w:w="8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5"/>
              </w:rPr>
              <w:t>Risorsa</w:t>
            </w:r>
          </w:p>
        </w:tc>
        <w:tc>
          <w:tcPr>
            <w:tcW w:type="dxa" w:w="2537"/>
            <w:shd w:fill="1E4A32"/>
            <w:tcMar>
              <w:top w:w="95" w:type="dxa"/>
              <w:start w:w="80" w:type="dxa"/>
              <w:bottom w:w="95" w:type="dxa"/>
              <w:end w:w="8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5"/>
              </w:rPr>
              <w:t>Descrizione preliminare</w:t>
            </w:r>
          </w:p>
        </w:tc>
        <w:tc>
          <w:tcPr>
            <w:tcW w:type="dxa" w:w="2537"/>
            <w:shd w:fill="1E4A32"/>
            <w:tcMar>
              <w:top w:w="95" w:type="dxa"/>
              <w:start w:w="80" w:type="dxa"/>
              <w:bottom w:w="95" w:type="dxa"/>
              <w:end w:w="8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5"/>
              </w:rPr>
              <w:t>Valore potenziale</w:t>
            </w:r>
          </w:p>
        </w:tc>
        <w:tc>
          <w:tcPr>
            <w:tcW w:type="dxa" w:w="2537"/>
            <w:shd w:fill="1E4A32"/>
            <w:tcMar>
              <w:top w:w="95" w:type="dxa"/>
              <w:start w:w="80" w:type="dxa"/>
              <w:bottom w:w="95" w:type="dxa"/>
              <w:end w:w="8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5"/>
              </w:rPr>
              <w:t>Verifiche necessarie</w:t>
            </w:r>
          </w:p>
        </w:tc>
      </w:tr>
      <w:tr>
        <w:trPr>
          <w:cantSplit/>
        </w:trPr>
        <w:tc>
          <w:tcPr>
            <w:tcW w:type="dxa" w:w="1800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/>
                <w:color w:val="1E4A32"/>
                <w:sz w:val="15"/>
              </w:rPr>
              <w:t>Due fabbricati principali</w:t>
            </w:r>
          </w:p>
        </w:tc>
        <w:tc>
          <w:tcPr>
            <w:tcW w:type="dxa" w:w="2952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Due case o fabbricati di grandi dimensioni, indicati dal referente</w:t>
            </w:r>
          </w:p>
        </w:tc>
        <w:tc>
          <w:tcPr>
            <w:tcW w:type="dxa" w:w="2520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Possibile base per uffici, residenza del gestore, ospitalità o servizi, se compatibile</w:t>
            </w:r>
          </w:p>
        </w:tc>
        <w:tc>
          <w:tcPr>
            <w:tcW w:type="dxa" w:w="2952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Titolo, destinazione d’uso, superficie, abitabilità, stato strutturale, impianti</w:t>
            </w:r>
          </w:p>
        </w:tc>
      </w:tr>
      <w:tr>
        <w:trPr>
          <w:cantSplit/>
        </w:trPr>
        <w:tc>
          <w:tcPr>
            <w:tcW w:type="dxa" w:w="1800"/>
            <w:shd w:fill="F3F0E7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/>
                <w:color w:val="1E4A32"/>
                <w:sz w:val="15"/>
              </w:rPr>
              <w:t>Circa 10 serre</w:t>
            </w:r>
          </w:p>
        </w:tc>
        <w:tc>
          <w:tcPr>
            <w:tcW w:type="dxa" w:w="2952"/>
            <w:shd w:fill="F3F0E7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Strutture serricole concentrate prevalentemente nel nucleo centrale</w:t>
            </w:r>
          </w:p>
        </w:tc>
        <w:tc>
          <w:tcPr>
            <w:tcW w:type="dxa" w:w="2520"/>
            <w:shd w:fill="F3F0E7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Produzione vivaistica, colture protette, sperimentazione, deposito o riuso</w:t>
            </w:r>
          </w:p>
        </w:tc>
        <w:tc>
          <w:tcPr>
            <w:tcW w:type="dxa" w:w="2952"/>
            <w:shd w:fill="F3F0E7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Numero effettivo, coperture, strutture portanti, dimensioni, sicurezza e autorizzazioni</w:t>
            </w:r>
          </w:p>
        </w:tc>
      </w:tr>
      <w:tr>
        <w:trPr>
          <w:cantSplit/>
        </w:trPr>
        <w:tc>
          <w:tcPr>
            <w:tcW w:type="dxa" w:w="1800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/>
                <w:color w:val="1E4A32"/>
                <w:sz w:val="15"/>
              </w:rPr>
              <w:t>Fabbricati di servizio</w:t>
            </w:r>
          </w:p>
        </w:tc>
        <w:tc>
          <w:tcPr>
            <w:tcW w:type="dxa" w:w="2952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Piccole strutture tecniche o utility shacks</w:t>
            </w:r>
          </w:p>
        </w:tc>
        <w:tc>
          <w:tcPr>
            <w:tcW w:type="dxa" w:w="2520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Supporto a pompe, manutenzione, attrezzi e gestione agricola</w:t>
            </w:r>
          </w:p>
        </w:tc>
        <w:tc>
          <w:tcPr>
            <w:tcW w:type="dxa" w:w="2952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Inventario, proprietà, sicurezza, allacciamenti</w:t>
            </w:r>
          </w:p>
        </w:tc>
      </w:tr>
      <w:tr>
        <w:trPr>
          <w:cantSplit/>
        </w:trPr>
        <w:tc>
          <w:tcPr>
            <w:tcW w:type="dxa" w:w="1800"/>
            <w:shd w:fill="F3F0E7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/>
                <w:color w:val="1E4A32"/>
                <w:sz w:val="15"/>
              </w:rPr>
              <w:t>Impianto irriguo</w:t>
            </w:r>
          </w:p>
        </w:tc>
        <w:tc>
          <w:tcPr>
            <w:tcW w:type="dxa" w:w="2952"/>
            <w:shd w:fill="F3F0E7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Rete di irrigazione riferita come esistente</w:t>
            </w:r>
          </w:p>
        </w:tc>
        <w:tc>
          <w:tcPr>
            <w:tcW w:type="dxa" w:w="2520"/>
            <w:shd w:fill="F3F0E7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Elemento strategico per recupero agricolo e riduzione degli investimenti iniziali</w:t>
            </w:r>
          </w:p>
        </w:tc>
        <w:tc>
          <w:tcPr>
            <w:tcW w:type="dxa" w:w="2952"/>
            <w:shd w:fill="F3F0E7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Tracciato, perdite, pompe, pressioni, funzionamento e costi di ripristino</w:t>
            </w:r>
          </w:p>
        </w:tc>
      </w:tr>
      <w:tr>
        <w:trPr>
          <w:cantSplit/>
        </w:trPr>
        <w:tc>
          <w:tcPr>
            <w:tcW w:type="dxa" w:w="1800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/>
                <w:color w:val="1E4A32"/>
                <w:sz w:val="15"/>
              </w:rPr>
              <w:t>Pozzo</w:t>
            </w:r>
          </w:p>
        </w:tc>
        <w:tc>
          <w:tcPr>
            <w:tcW w:type="dxa" w:w="2952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Presenza riferita di almeno un pozzo</w:t>
            </w:r>
          </w:p>
        </w:tc>
        <w:tc>
          <w:tcPr>
            <w:tcW w:type="dxa" w:w="2520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Potenziale autonomia idrica per usi agricoli</w:t>
            </w:r>
          </w:p>
        </w:tc>
        <w:tc>
          <w:tcPr>
            <w:tcW w:type="dxa" w:w="2952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Titolo, autorizzazione, portata, qualità, profondità, stato della pompa</w:t>
            </w:r>
          </w:p>
        </w:tc>
      </w:tr>
      <w:tr>
        <w:trPr>
          <w:cantSplit/>
        </w:trPr>
        <w:tc>
          <w:tcPr>
            <w:tcW w:type="dxa" w:w="1800"/>
            <w:shd w:fill="F3F0E7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/>
                <w:color w:val="1E4A32"/>
                <w:sz w:val="15"/>
              </w:rPr>
              <w:t>Filari e impianto agricolo</w:t>
            </w:r>
          </w:p>
        </w:tc>
        <w:tc>
          <w:tcPr>
            <w:tcW w:type="dxa" w:w="2952"/>
            <w:shd w:fill="F3F0E7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Ampia presenza visibile di file alberate e comparti agricoli</w:t>
            </w:r>
          </w:p>
        </w:tc>
        <w:tc>
          <w:tcPr>
            <w:tcW w:type="dxa" w:w="2520"/>
            <w:shd w:fill="F3F0E7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Recupero dell’aranceto, riconversione graduale o sistemi misti</w:t>
            </w:r>
          </w:p>
        </w:tc>
        <w:tc>
          <w:tcPr>
            <w:tcW w:type="dxa" w:w="2952"/>
            <w:shd w:fill="F3F0E7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Specie, numero piante, salute, produttività, età, suolo e fabbisogni idrici</w:t>
            </w:r>
          </w:p>
        </w:tc>
      </w:tr>
      <w:tr>
        <w:trPr>
          <w:cantSplit/>
        </w:trPr>
        <w:tc>
          <w:tcPr>
            <w:tcW w:type="dxa" w:w="1800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/>
                <w:color w:val="1E4A32"/>
                <w:sz w:val="15"/>
              </w:rPr>
              <w:t>Viabilità interna</w:t>
            </w:r>
          </w:p>
        </w:tc>
        <w:tc>
          <w:tcPr>
            <w:tcW w:type="dxa" w:w="2952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Tracce di piste e collegamenti tra i comparti</w:t>
            </w:r>
          </w:p>
        </w:tc>
        <w:tc>
          <w:tcPr>
            <w:tcW w:type="dxa" w:w="2520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Accesso operativo e gestione per zone</w:t>
            </w:r>
          </w:p>
        </w:tc>
        <w:tc>
          <w:tcPr>
            <w:tcW w:type="dxa" w:w="2952"/>
            <w:shd w:fill="FFFFFF"/>
            <w:tcMar>
              <w:top w:w="70" w:type="dxa"/>
              <w:start w:w="72" w:type="dxa"/>
              <w:bottom w:w="70" w:type="dxa"/>
              <w:end w:w="72" w:type="dxa"/>
            </w:tcMar>
          </w:tcPr>
          <w:p>
            <w:pPr>
              <w:keepNext w:val="0"/>
              <w:spacing w:before="0" w:after="0" w:line="247" w:lineRule="auto"/>
            </w:pPr>
            <w:r>
              <w:rPr>
                <w:rFonts w:ascii="Lato" w:hAnsi="Lato" w:eastAsia="Lato"/>
                <w:b w:val="0"/>
                <w:color w:val="222222"/>
                <w:sz w:val="15"/>
              </w:rPr>
              <w:t>Proprietà, larghezze, fondo stradale, percorribilità e accesso mezzi pesanti</w:t>
            </w:r>
          </w:p>
        </w:tc>
      </w:tr>
    </w:tbl>
    <w:p>
      <w:pPr>
        <w:keepNext w:val="0"/>
        <w:spacing w:before="40" w:after="4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4297680" cy="394921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ntral_compound_202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9492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40" w:after="120" w:line="240" w:lineRule="auto"/>
        <w:jc w:val="center"/>
      </w:pPr>
      <w:r>
        <w:rPr>
          <w:rFonts w:ascii="Lato" w:hAnsi="Lato" w:eastAsia="Lato"/>
          <w:i/>
          <w:color w:val="6B6B63"/>
          <w:sz w:val="15"/>
        </w:rPr>
        <w:t>Ingrandimento indicativo del nucleo centrale visibile nell’immagine 2025. La risoluzione satellitare non consente di determinare numero, dimensioni, uso o stato delle singole strutture.</w:t>
      </w:r>
    </w:p>
    <w:p>
      <w:r>
        <w:br w:type="page"/>
      </w:r>
    </w:p>
    <w:p>
      <w:pPr>
        <w:pStyle w:val="Heading1"/>
        <w:keepNext/>
        <w:spacing w:before="100" w:after="140" w:line="240" w:lineRule="auto"/>
      </w:pPr>
      <w:r>
        <w:rPr>
          <w:rFonts w:ascii="Inter Display" w:hAnsi="Inter Display" w:eastAsia="Inter Display"/>
          <w:b/>
          <w:color w:val="B86B36"/>
          <w:sz w:val="34"/>
        </w:rPr>
        <w:t xml:space="preserve">4  </w:t>
      </w:r>
      <w:r>
        <w:rPr>
          <w:rFonts w:ascii="Inter Display" w:hAnsi="Inter Display" w:eastAsia="Inter Display"/>
          <w:b/>
          <w:color w:val="1E4A32"/>
          <w:sz w:val="34"/>
        </w:rPr>
        <w:t>Evoluzione visiva 2004-2025</w:t>
      </w:r>
    </w:p>
    <w:p>
      <w:pPr>
        <w:keepNext w:val="0"/>
        <w:pBdr>
          <w:bottom w:val="single" w:sz="10" w:space="1" w:color="C99A45"/>
        </w:pBdr>
        <w:spacing w:before="0" w:after="100" w:line="259" w:lineRule="auto"/>
      </w:pPr>
    </w:p>
    <w:p>
      <w:pPr>
        <w:keepNext w:val="0"/>
        <w:spacing w:before="40" w:after="4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400800" cy="487172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imeline_2004_2025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8717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40" w:after="120" w:line="240" w:lineRule="auto"/>
        <w:jc w:val="center"/>
      </w:pPr>
      <w:r>
        <w:rPr>
          <w:rFonts w:ascii="Lato" w:hAnsi="Lato" w:eastAsia="Lato"/>
          <w:i/>
          <w:color w:val="6B6B63"/>
          <w:sz w:val="15"/>
        </w:rPr>
        <w:t>Serie di immagini Google Earth fornite dall’utente. Le variazioni di colore e vegetazione dipendono anche da stagione, condizioni climatiche, sensori e qualità delle immagini.</w:t>
      </w:r>
    </w:p>
    <w:p>
      <w:pPr>
        <w:pStyle w:val="Heading2"/>
        <w:keepNext/>
        <w:spacing w:before="40" w:after="140" w:line="240" w:lineRule="auto"/>
      </w:pPr>
      <w:r>
        <w:rPr>
          <w:rFonts w:ascii="Inter Display" w:hAnsi="Inter Display" w:eastAsia="Inter Display"/>
          <w:b/>
          <w:color w:val="1E4A32"/>
          <w:sz w:val="26"/>
        </w:rPr>
        <w:t>Osservazioni prudenti sulla serie storica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Nel 2004 e nel 2006 il disegno dei filari appare esteso e relativamente continuo in gran parte del perimetro.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Nel 2010 la proprietà conserva una forte struttura agricola, con comparti coltivati, filari e aree differenziate.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Tra il 2015 e il 2019 diventano più evidenti alcuni appezzamenti aperti o meno densamente alberati, soprattutto nelle porzioni centrali e orientali.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Nel 2023 la vegetazione appare più verde, ma questa differenza può riflettere la data stagionale dell’immagine e non necessariamente un miglioramento produttivo.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Nel 2025 restano chiaramente leggibili la maglia dei filari, i comparti agricoli, le strutture centrali e la configurazione complessiva del fondo.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La serie suggerisce continuità dell’identità agricola e, al tempo stesso, la necessità di un rilievo agronomico per distinguere impianti produttivi, aree recuperabili e aree da riconvertire.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cantSplit/>
        </w:trPr>
        <w:tc>
          <w:tcPr>
            <w:tcW w:type="dxa" w:w="10148"/>
            <w:shd w:fill="F3F0E7"/>
            <w:tcMar>
              <w:top w:w="180" w:type="dxa"/>
              <w:start w:w="220" w:type="dxa"/>
              <w:bottom w:w="180" w:type="dxa"/>
              <w:end w:w="220" w:type="dxa"/>
            </w:tcMar>
            <w:tcBorders>
              <w:left w:sz="18" w:val="single" w:color="B86B36"/>
            </w:tcBorders>
          </w:tcPr>
          <w:p>
            <w:pPr>
              <w:keepNext w:val="0"/>
              <w:spacing w:before="0" w:after="80" w:line="259" w:lineRule="auto"/>
            </w:pPr>
            <w:r>
              <w:rPr>
                <w:rFonts w:ascii="Inter Display" w:hAnsi="Inter Display" w:eastAsia="Inter Display"/>
                <w:b/>
                <w:color w:val="B86B36"/>
                <w:sz w:val="22"/>
              </w:rPr>
              <w:t>COSA NON PUÒ DIRE IL SATELLITE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Lato" w:hAnsi="Lato" w:eastAsia="Lato"/>
                <w:color w:val="222222"/>
                <w:sz w:val="18"/>
              </w:rPr>
              <w:t>Le immagini non provano la produttività, la salute degli alberi, la disponibilità effettiva di acqua, l’agibilità degli edifici, la legalità delle serre, la proprietà dei tracciati o la presenza di vincoli. Questi elementi richiedono documenti e sopralluoghi professionali.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00" w:after="140" w:line="240" w:lineRule="auto"/>
      </w:pPr>
      <w:r>
        <w:rPr>
          <w:rFonts w:ascii="Inter Display" w:hAnsi="Inter Display" w:eastAsia="Inter Display"/>
          <w:b/>
          <w:color w:val="B86B36"/>
          <w:sz w:val="34"/>
        </w:rPr>
        <w:t xml:space="preserve">5  </w:t>
      </w:r>
      <w:r>
        <w:rPr>
          <w:rFonts w:ascii="Inter Display" w:hAnsi="Inter Display" w:eastAsia="Inter Display"/>
          <w:b/>
          <w:color w:val="1E4A32"/>
          <w:sz w:val="34"/>
        </w:rPr>
        <w:t>Organizzazione funzionale preliminare</w:t>
      </w:r>
    </w:p>
    <w:p>
      <w:pPr>
        <w:keepNext w:val="0"/>
        <w:pBdr>
          <w:bottom w:val="single" w:sz="10" w:space="1" w:color="C99A45"/>
        </w:pBdr>
        <w:spacing w:before="0" w:after="100" w:line="259" w:lineRule="auto"/>
      </w:pPr>
    </w:p>
    <w:p>
      <w:pPr>
        <w:keepNext w:val="0"/>
        <w:spacing w:before="0" w:after="100" w:line="278" w:lineRule="auto"/>
      </w:pPr>
      <w:r>
        <w:rPr>
          <w:rFonts w:ascii="Lato" w:hAnsi="Lato" w:eastAsia="Lato"/>
          <w:i w:val="0"/>
          <w:color w:val="222222"/>
          <w:sz w:val="19"/>
        </w:rPr>
        <w:t>Per scopi di presentazione e pianificazione, la proprietà può essere descritta provvisoriamente come un sistema di zone complementari. Questa lettura non sostituisce una planimetria tecnica e non implica che le aree possano essere utilizzate separatamente senza verifiche.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rPr>
          <w:cantSplit/>
        </w:trPr>
        <w:tc>
          <w:tcPr>
            <w:tcW w:type="dxa" w:w="3383"/>
            <w:shd w:fill="B86B36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Zona descrittiva</w:t>
            </w:r>
          </w:p>
        </w:tc>
        <w:tc>
          <w:tcPr>
            <w:tcW w:type="dxa" w:w="3383"/>
            <w:shd w:fill="B86B36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Caratteristiche osservabili</w:t>
            </w:r>
          </w:p>
        </w:tc>
        <w:tc>
          <w:tcPr>
            <w:tcW w:type="dxa" w:w="3383"/>
            <w:shd w:fill="B86B36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Possibile ruolo progettuale</w:t>
            </w:r>
          </w:p>
        </w:tc>
      </w:tr>
      <w:tr>
        <w:trPr>
          <w:cantSplit/>
        </w:trPr>
        <w:tc>
          <w:tcPr>
            <w:tcW w:type="dxa" w:w="208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/>
                <w:color w:val="1E4A32"/>
                <w:sz w:val="16"/>
              </w:rPr>
              <w:t>A - Blocco agricolo principale</w:t>
            </w:r>
          </w:p>
        </w:tc>
        <w:tc>
          <w:tcPr>
            <w:tcW w:type="dxa" w:w="381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6"/>
              </w:rPr>
              <w:t>Porzione settentrionale ampia, con filari, appezzamenti e piste interne</w:t>
            </w:r>
          </w:p>
        </w:tc>
        <w:tc>
          <w:tcPr>
            <w:tcW w:type="dxa" w:w="403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6"/>
              </w:rPr>
              <w:t>Nucleo di recupero agricolo, colture mediterranee, agricoltura rigenerativa o progetto integrato</w:t>
            </w:r>
          </w:p>
        </w:tc>
      </w:tr>
      <w:tr>
        <w:trPr>
          <w:cantSplit/>
        </w:trPr>
        <w:tc>
          <w:tcPr>
            <w:tcW w:type="dxa" w:w="2088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/>
                <w:color w:val="1E4A32"/>
                <w:sz w:val="16"/>
              </w:rPr>
              <w:t>B - Nucleo operativo centrale</w:t>
            </w:r>
          </w:p>
        </w:tc>
        <w:tc>
          <w:tcPr>
            <w:tcW w:type="dxa" w:w="3816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6"/>
              </w:rPr>
              <w:t>Fabbricati principali e gruppo di strutture coperte o serricole</w:t>
            </w:r>
          </w:p>
        </w:tc>
        <w:tc>
          <w:tcPr>
            <w:tcW w:type="dxa" w:w="4032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6"/>
              </w:rPr>
              <w:t>Centro gestionale, vivaio, trasformazione leggera, ricerca, servizi o futura accoglienza se autorizzata</w:t>
            </w:r>
          </w:p>
        </w:tc>
      </w:tr>
      <w:tr>
        <w:trPr>
          <w:cantSplit/>
        </w:trPr>
        <w:tc>
          <w:tcPr>
            <w:tcW w:type="dxa" w:w="208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/>
                <w:color w:val="1E4A32"/>
                <w:sz w:val="16"/>
              </w:rPr>
              <w:t>C - Blocco sud-occidentale</w:t>
            </w:r>
          </w:p>
        </w:tc>
        <w:tc>
          <w:tcPr>
            <w:tcW w:type="dxa" w:w="381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6"/>
              </w:rPr>
              <w:t>Area triangolare con filari, superfici aperte e collegamento al corpo principale</w:t>
            </w:r>
          </w:p>
        </w:tc>
        <w:tc>
          <w:tcPr>
            <w:tcW w:type="dxa" w:w="403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6"/>
              </w:rPr>
              <w:t>Progetto agricolo separabile, sperimentazione, pascolo leggero, agroforestazione o sviluppo per fasi</w:t>
            </w:r>
          </w:p>
        </w:tc>
      </w:tr>
      <w:tr>
        <w:trPr>
          <w:cantSplit/>
        </w:trPr>
        <w:tc>
          <w:tcPr>
            <w:tcW w:type="dxa" w:w="2088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/>
                <w:color w:val="1E4A32"/>
                <w:sz w:val="16"/>
              </w:rPr>
              <w:t>D - Collegamento sud-est</w:t>
            </w:r>
          </w:p>
        </w:tc>
        <w:tc>
          <w:tcPr>
            <w:tcW w:type="dxa" w:w="3816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6"/>
              </w:rPr>
              <w:t>Tracciato lineare verso il contesto serricolo e viario esterno</w:t>
            </w:r>
          </w:p>
        </w:tc>
        <w:tc>
          <w:tcPr>
            <w:tcW w:type="dxa" w:w="4032"/>
            <w:shd w:fill="F3F0E7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6"/>
              </w:rPr>
              <w:t>Possibile accesso logistico o servitù, da verificare prima di qualsiasi comunicazione</w:t>
            </w:r>
          </w:p>
        </w:tc>
      </w:tr>
      <w:tr>
        <w:trPr>
          <w:cantSplit/>
        </w:trPr>
        <w:tc>
          <w:tcPr>
            <w:tcW w:type="dxa" w:w="208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/>
                <w:color w:val="1E4A32"/>
                <w:sz w:val="16"/>
              </w:rPr>
              <w:t>E - Fasce e margini</w:t>
            </w:r>
          </w:p>
        </w:tc>
        <w:tc>
          <w:tcPr>
            <w:tcW w:type="dxa" w:w="381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6"/>
              </w:rPr>
              <w:t>Confini irregolari, margini vegetati e prossimità a corridoio idrografico</w:t>
            </w:r>
          </w:p>
        </w:tc>
        <w:tc>
          <w:tcPr>
            <w:tcW w:type="dxa" w:w="403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6"/>
              </w:rPr>
              <w:t>Protezione ambientale, mitigazione, biodiversità, percorsi tecnici o fasce di rispetto</w:t>
            </w:r>
          </w:p>
        </w:tc>
      </w:tr>
    </w:tbl>
    <w:p>
      <w:pPr>
        <w:pStyle w:val="Heading2"/>
        <w:keepNext/>
        <w:spacing w:before="40" w:after="140" w:line="240" w:lineRule="auto"/>
      </w:pPr>
      <w:r>
        <w:rPr>
          <w:rFonts w:ascii="Inter Display" w:hAnsi="Inter Display" w:eastAsia="Inter Display"/>
          <w:b/>
          <w:color w:val="1E4A32"/>
          <w:sz w:val="26"/>
        </w:rPr>
        <w:t>Punti di forza da comunicare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Scala sufficiente per valutare progetti agricoli e multifunzionali non limitati a una piccola azienda familiare.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Presenza preliminare di edifici, serre e infrastrutture irrigue che può offrire una base operativa da recuperare.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Identità agricola visibile e documentabile attraverso oltre vent’anni di immagini storiche.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Possibilità di organizzare un intervento per fasi, concentrando gli investimenti iniziali sulle aree più promettenti.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Inserimento in un contesto agricolo attivo, con presenza circostante di colture e serre.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Potenziale per un progetto capace di combinare produzione, servizi, ricerca, inclusione o ospitalità rurale, subordinatamente alle autorizzazioni.</w:t>
      </w:r>
    </w:p>
    <w:p>
      <w:r>
        <w:br w:type="page"/>
      </w:r>
    </w:p>
    <w:p>
      <w:pPr>
        <w:pStyle w:val="Heading1"/>
        <w:keepNext/>
        <w:spacing w:before="100" w:after="140" w:line="240" w:lineRule="auto"/>
      </w:pPr>
      <w:r>
        <w:rPr>
          <w:rFonts w:ascii="Inter Display" w:hAnsi="Inter Display" w:eastAsia="Inter Display"/>
          <w:b/>
          <w:color w:val="B86B36"/>
          <w:sz w:val="34"/>
        </w:rPr>
        <w:t xml:space="preserve">6  </w:t>
      </w:r>
      <w:r>
        <w:rPr>
          <w:rFonts w:ascii="Inter Display" w:hAnsi="Inter Display" w:eastAsia="Inter Display"/>
          <w:b/>
          <w:color w:val="1E4A32"/>
          <w:sz w:val="34"/>
        </w:rPr>
        <w:t>Direzioni di valorizzazione da esplorare</w:t>
      </w:r>
    </w:p>
    <w:p>
      <w:pPr>
        <w:keepNext w:val="0"/>
        <w:pBdr>
          <w:bottom w:val="single" w:sz="10" w:space="1" w:color="C99A45"/>
        </w:pBdr>
        <w:spacing w:before="0" w:after="100" w:line="259" w:lineRule="auto"/>
      </w:pPr>
    </w:p>
    <w:p>
      <w:pPr>
        <w:keepNext w:val="0"/>
        <w:spacing w:before="0" w:after="100" w:line="278" w:lineRule="auto"/>
      </w:pPr>
      <w:r>
        <w:rPr>
          <w:rFonts w:ascii="Lato" w:hAnsi="Lato" w:eastAsia="Lato"/>
          <w:i w:val="0"/>
          <w:color w:val="222222"/>
          <w:sz w:val="19"/>
        </w:rPr>
        <w:t>Le seguenti ipotesi devono essere presentate come direzioni progettuali, non come usi già autorizzati. Il valore del dossier consiste nel mostrare la flessibilità della proprietà senza promettere edificabilità, permessi, finanziamenti o redditività.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</w:trPr>
        <w:tc>
          <w:tcPr>
            <w:tcW w:type="dxa" w:w="4867"/>
            <w:shd w:fill="E8F0EA"/>
            <w:tcMar>
              <w:top w:w="165" w:type="dxa"/>
              <w:start w:w="170" w:type="dxa"/>
              <w:bottom w:w="165" w:type="dxa"/>
              <w:end w:w="170" w:type="dxa"/>
            </w:tcMar>
            <w:tcBorders>
              <w:top w:sz="8" w:val="single" w:color="D2CBB8"/>
              <w:left w:sz="8" w:val="single" w:color="D2CBB8"/>
              <w:bottom w:sz="8" w:val="single" w:color="D2CBB8"/>
              <w:right w:sz="8" w:val="single" w:color="D2CBB8"/>
            </w:tcBorders>
          </w:tcPr>
          <w:p>
            <w:pPr>
              <w:keepNext w:val="0"/>
              <w:spacing w:before="0" w:after="10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20"/>
              </w:rPr>
              <w:t>Recupero agricolo e agrumicolo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Lato" w:hAnsi="Lato" w:eastAsia="Lato"/>
                <w:color w:val="222222"/>
                <w:sz w:val="17"/>
              </w:rPr>
              <w:t>Valutazione dello stato degli alberi, recupero selettivo dei comparti migliori, reimpianto graduale, colture mediterranee e sistemi misti.</w:t>
            </w:r>
          </w:p>
        </w:tc>
        <w:tc>
          <w:tcPr>
            <w:tcW w:type="dxa" w:w="4867"/>
            <w:shd w:fill="F3F0E7"/>
            <w:tcMar>
              <w:top w:w="165" w:type="dxa"/>
              <w:start w:w="170" w:type="dxa"/>
              <w:bottom w:w="165" w:type="dxa"/>
              <w:end w:w="170" w:type="dxa"/>
            </w:tcMar>
            <w:tcBorders>
              <w:top w:sz="8" w:val="single" w:color="D2CBB8"/>
              <w:left w:sz="8" w:val="single" w:color="D2CBB8"/>
              <w:bottom w:sz="8" w:val="single" w:color="D2CBB8"/>
              <w:right w:sz="8" w:val="single" w:color="D2CBB8"/>
            </w:tcBorders>
          </w:tcPr>
          <w:p>
            <w:pPr>
              <w:keepNext w:val="0"/>
              <w:spacing w:before="0" w:after="10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20"/>
              </w:rPr>
              <w:t>Vivaio e produzione in serra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Lato" w:hAnsi="Lato" w:eastAsia="Lato"/>
                <w:color w:val="222222"/>
                <w:sz w:val="17"/>
              </w:rPr>
              <w:t>Utilizzo o ricostruzione delle strutture serricole per piante mediterranee, ornamentali, da frutto, resistenti alla siccità o destinate alla paesaggistica.</w:t>
            </w:r>
          </w:p>
        </w:tc>
      </w:tr>
      <w:tr>
        <w:trPr>
          <w:cantSplit/>
        </w:trPr>
        <w:tc>
          <w:tcPr>
            <w:tcW w:type="dxa" w:w="4867"/>
            <w:shd w:fill="E8F0EA"/>
            <w:tcMar>
              <w:top w:w="165" w:type="dxa"/>
              <w:start w:w="170" w:type="dxa"/>
              <w:bottom w:w="165" w:type="dxa"/>
              <w:end w:w="170" w:type="dxa"/>
            </w:tcMar>
            <w:tcBorders>
              <w:top w:sz="8" w:val="single" w:color="D2CBB8"/>
              <w:left w:sz="8" w:val="single" w:color="D2CBB8"/>
              <w:bottom w:sz="8" w:val="single" w:color="D2CBB8"/>
              <w:right w:sz="8" w:val="single" w:color="D2CBB8"/>
            </w:tcBorders>
          </w:tcPr>
          <w:p>
            <w:pPr>
              <w:keepNext w:val="0"/>
              <w:spacing w:before="0" w:after="10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20"/>
              </w:rPr>
              <w:t>Agricoltura sociale e didattica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Lato" w:hAnsi="Lato" w:eastAsia="Lato"/>
                <w:color w:val="222222"/>
                <w:sz w:val="17"/>
              </w:rPr>
              <w:t>Collaborazione con cooperative, scuole, enti del terzo settore e organizzazioni per inclusione, formazione e attività educative.</w:t>
            </w:r>
          </w:p>
        </w:tc>
        <w:tc>
          <w:tcPr>
            <w:tcW w:type="dxa" w:w="4867"/>
            <w:shd w:fill="F3F0E7"/>
            <w:tcMar>
              <w:top w:w="165" w:type="dxa"/>
              <w:start w:w="170" w:type="dxa"/>
              <w:bottom w:w="165" w:type="dxa"/>
              <w:end w:w="170" w:type="dxa"/>
            </w:tcMar>
            <w:tcBorders>
              <w:top w:sz="8" w:val="single" w:color="D2CBB8"/>
              <w:left w:sz="8" w:val="single" w:color="D2CBB8"/>
              <w:bottom w:sz="8" w:val="single" w:color="D2CBB8"/>
              <w:right w:sz="8" w:val="single" w:color="D2CBB8"/>
            </w:tcBorders>
          </w:tcPr>
          <w:p>
            <w:pPr>
              <w:keepNext w:val="0"/>
              <w:spacing w:before="0" w:after="10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20"/>
              </w:rPr>
              <w:t>Ricerca, acqua e innovazione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Lato" w:hAnsi="Lato" w:eastAsia="Lato"/>
                <w:color w:val="222222"/>
                <w:sz w:val="17"/>
              </w:rPr>
              <w:t>Partnership con università, startup e imprese su irrigazione, resilienza climatica, agricoltura rigenerativa, biodiversità e sensori.</w:t>
            </w:r>
          </w:p>
        </w:tc>
      </w:tr>
      <w:tr>
        <w:trPr>
          <w:cantSplit/>
        </w:trPr>
        <w:tc>
          <w:tcPr>
            <w:tcW w:type="dxa" w:w="4867"/>
            <w:shd w:fill="E8F0EA"/>
            <w:tcMar>
              <w:top w:w="165" w:type="dxa"/>
              <w:start w:w="170" w:type="dxa"/>
              <w:bottom w:w="165" w:type="dxa"/>
              <w:end w:w="170" w:type="dxa"/>
            </w:tcMar>
            <w:tcBorders>
              <w:top w:sz="8" w:val="single" w:color="D2CBB8"/>
              <w:left w:sz="8" w:val="single" w:color="D2CBB8"/>
              <w:bottom w:sz="8" w:val="single" w:color="D2CBB8"/>
              <w:right w:sz="8" w:val="single" w:color="D2CBB8"/>
            </w:tcBorders>
          </w:tcPr>
          <w:p>
            <w:pPr>
              <w:keepNext w:val="0"/>
              <w:spacing w:before="0" w:after="10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20"/>
              </w:rPr>
              <w:t>Ospitalità rurale e benessere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Lato" w:hAnsi="Lato" w:eastAsia="Lato"/>
                <w:color w:val="222222"/>
                <w:sz w:val="17"/>
              </w:rPr>
              <w:t>Recupero compatibile di edifici per esperienze, ritiri, formazione, ristorazione agricola o ospitalità limitata, solo dopo verifica urbanistica.</w:t>
            </w:r>
          </w:p>
        </w:tc>
        <w:tc>
          <w:tcPr>
            <w:tcW w:type="dxa" w:w="4867"/>
            <w:shd w:fill="F3F0E7"/>
            <w:tcMar>
              <w:top w:w="165" w:type="dxa"/>
              <w:start w:w="170" w:type="dxa"/>
              <w:bottom w:w="165" w:type="dxa"/>
              <w:end w:w="170" w:type="dxa"/>
            </w:tcMar>
            <w:tcBorders>
              <w:top w:sz="8" w:val="single" w:color="D2CBB8"/>
              <w:left w:sz="8" w:val="single" w:color="D2CBB8"/>
              <w:bottom w:sz="8" w:val="single" w:color="D2CBB8"/>
              <w:right w:sz="8" w:val="single" w:color="D2CBB8"/>
            </w:tcBorders>
          </w:tcPr>
          <w:p>
            <w:pPr>
              <w:keepNext w:val="0"/>
              <w:spacing w:before="0" w:after="10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20"/>
              </w:rPr>
              <w:t>Progetto misto per fasi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Lato" w:hAnsi="Lato" w:eastAsia="Lato"/>
                <w:color w:val="222222"/>
                <w:sz w:val="17"/>
              </w:rPr>
              <w:t>Un operatore principale o più soggetti coordinati possono sviluppare aree diverse con investimenti, tempi e responsabilità chiaramente definiti.</w:t>
            </w:r>
          </w:p>
        </w:tc>
      </w:tr>
    </w:tbl>
    <w:p>
      <w:pPr>
        <w:pStyle w:val="Heading2"/>
        <w:keepNext/>
        <w:spacing w:before="40" w:after="140" w:line="240" w:lineRule="auto"/>
      </w:pPr>
      <w:r>
        <w:rPr>
          <w:rFonts w:ascii="Inter Display" w:hAnsi="Inter Display" w:eastAsia="Inter Display"/>
          <w:b/>
          <w:color w:val="1E4A32"/>
          <w:sz w:val="26"/>
        </w:rPr>
        <w:t>Proposta di messaggio marketing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cantSplit/>
        </w:trPr>
        <w:tc>
          <w:tcPr>
            <w:tcW w:type="dxa" w:w="10148"/>
            <w:shd w:fill="1E4A32"/>
            <w:tcMar>
              <w:top w:w="180" w:type="dxa"/>
              <w:start w:w="220" w:type="dxa"/>
              <w:bottom w:w="180" w:type="dxa"/>
              <w:end w:w="220" w:type="dxa"/>
            </w:tcMar>
            <w:tcBorders>
              <w:left w:sz="18" w:val="single" w:color="C99A45"/>
            </w:tcBorders>
          </w:tcPr>
          <w:p>
            <w:pPr>
              <w:keepNext w:val="0"/>
              <w:spacing w:before="0" w:after="8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22"/>
              </w:rPr>
              <w:t>UNA PROPRIETÀ AGRICOLA STORICA PRONTA PER UN NUOVO PROGETTO OPERATIVO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Lato" w:hAnsi="Lato" w:eastAsia="Lato"/>
                <w:color w:val="FFFFFF"/>
                <w:sz w:val="18"/>
              </w:rPr>
              <w:t>La famiglia Zuddas desidera mantenere la proprietà e valutare collaborazioni di lungo periodo con operatori qualificati capaci di finanziare, recuperare e gestire un progetto agricolo, sociale, educativo, vivaistico, turistico-rurale o innovativo. La proprietà offre una superficie indicativa di circa 35 ettari, fabbricati, strutture serricole e infrastrutture agricole da verificare e valorizzare.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00" w:after="140" w:line="240" w:lineRule="auto"/>
      </w:pPr>
      <w:r>
        <w:rPr>
          <w:rFonts w:ascii="Inter Display" w:hAnsi="Inter Display" w:eastAsia="Inter Display"/>
          <w:b/>
          <w:color w:val="B86B36"/>
          <w:sz w:val="34"/>
        </w:rPr>
        <w:t xml:space="preserve">7  </w:t>
      </w:r>
      <w:r>
        <w:rPr>
          <w:rFonts w:ascii="Inter Display" w:hAnsi="Inter Display" w:eastAsia="Inter Display"/>
          <w:b/>
          <w:color w:val="1E4A32"/>
          <w:sz w:val="34"/>
        </w:rPr>
        <w:t>Partner ricercati e modelli di collaborazione</w:t>
      </w:r>
    </w:p>
    <w:p>
      <w:pPr>
        <w:keepNext w:val="0"/>
        <w:pBdr>
          <w:bottom w:val="single" w:sz="10" w:space="1" w:color="C99A45"/>
        </w:pBdr>
        <w:spacing w:before="0" w:after="100" w:line="259" w:lineRule="auto"/>
      </w:pPr>
    </w:p>
    <w:p>
      <w:pPr>
        <w:pStyle w:val="Heading2"/>
        <w:keepNext/>
        <w:spacing w:before="40" w:after="140" w:line="240" w:lineRule="auto"/>
      </w:pPr>
      <w:r>
        <w:rPr>
          <w:rFonts w:ascii="Inter Display" w:hAnsi="Inter Display" w:eastAsia="Inter Display"/>
          <w:b/>
          <w:color w:val="1E4A32"/>
          <w:sz w:val="26"/>
        </w:rPr>
        <w:t>Profili prioritari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Imprese agricole e agrumicole con esperienza nella gestione di superfici articolate.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Operatori vivaistici, serricoli, di paesaggistica o colture mediterranee.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Operatori-investitori capaci di apportare capitale e assumere responsabilità di gestione.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Cooperative sociali, fattorie didattiche ed enti del terzo settore con modello economico sostenibile.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Università, fondazioni, centri di ricerca e imprese agri-tech con programmi concreti e finanziati.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Operatori di turismo rurale o benessere con esperienza nel recupero e nella gestione di immobili agricoli.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Raggruppamenti di soggetti complementari guidati da un responsabile unico e finanziariamente solido.</w:t>
      </w:r>
    </w:p>
    <w:p>
      <w:pPr>
        <w:pStyle w:val="Heading2"/>
        <w:keepNext/>
        <w:spacing w:before="40" w:after="140" w:line="240" w:lineRule="auto"/>
      </w:pPr>
      <w:r>
        <w:rPr>
          <w:rFonts w:ascii="Inter Display" w:hAnsi="Inter Display" w:eastAsia="Inter Display"/>
          <w:b/>
          <w:color w:val="1E4A32"/>
          <w:sz w:val="26"/>
        </w:rPr>
        <w:t>Modelli contrattuali da valutare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</w:trPr>
        <w:tc>
          <w:tcPr>
            <w:tcW w:type="dxa" w:w="5074"/>
            <w:shd w:fill="1E4A32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7"/>
              </w:rPr>
              <w:t>Modello</w:t>
            </w:r>
          </w:p>
        </w:tc>
        <w:tc>
          <w:tcPr>
            <w:tcW w:type="dxa" w:w="5074"/>
            <w:shd w:fill="1E4A32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7"/>
              </w:rPr>
              <w:t>Principio operativo</w:t>
            </w:r>
          </w:p>
        </w:tc>
      </w:tr>
      <w:tr>
        <w:trPr>
          <w:cantSplit/>
        </w:trPr>
        <w:tc>
          <w:tcPr>
            <w:tcW w:type="dxa" w:w="3024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/>
                <w:color w:val="1E4A32"/>
                <w:sz w:val="17"/>
              </w:rPr>
              <w:t>Affitto agricolo di lungo periodo</w:t>
            </w:r>
          </w:p>
        </w:tc>
        <w:tc>
          <w:tcPr>
            <w:tcW w:type="dxa" w:w="6912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L’operatore utilizza e gestisce le aree con obblighi chiari di manutenzione, investimento e restituzione.</w:t>
            </w:r>
          </w:p>
        </w:tc>
      </w:tr>
      <w:tr>
        <w:trPr>
          <w:cantSplit/>
        </w:trPr>
        <w:tc>
          <w:tcPr>
            <w:tcW w:type="dxa" w:w="3024"/>
            <w:shd w:fill="F3F0E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/>
                <w:color w:val="1E4A32"/>
                <w:sz w:val="17"/>
              </w:rPr>
              <w:t>Canone minimo più quota variabile</w:t>
            </w:r>
          </w:p>
        </w:tc>
        <w:tc>
          <w:tcPr>
            <w:tcW w:type="dxa" w:w="6912"/>
            <w:shd w:fill="F3F0E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La famiglia riceve una base garantita e una componente collegata ai risultati, con rendicontazione verificabile.</w:t>
            </w:r>
          </w:p>
        </w:tc>
      </w:tr>
      <w:tr>
        <w:trPr>
          <w:cantSplit/>
        </w:trPr>
        <w:tc>
          <w:tcPr>
            <w:tcW w:type="dxa" w:w="3024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/>
                <w:color w:val="1E4A32"/>
                <w:sz w:val="17"/>
              </w:rPr>
              <w:t>Investimento in cambio di durata</w:t>
            </w:r>
          </w:p>
        </w:tc>
        <w:tc>
          <w:tcPr>
            <w:tcW w:type="dxa" w:w="6912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Il partner finanzia lavori o infrastrutture e ottiene una durata sufficiente per ammortizzarli.</w:t>
            </w:r>
          </w:p>
        </w:tc>
      </w:tr>
      <w:tr>
        <w:trPr>
          <w:cantSplit/>
        </w:trPr>
        <w:tc>
          <w:tcPr>
            <w:tcW w:type="dxa" w:w="3024"/>
            <w:shd w:fill="F3F0E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/>
                <w:color w:val="1E4A32"/>
                <w:sz w:val="17"/>
              </w:rPr>
              <w:t>Recupero edifici a carico del partner</w:t>
            </w:r>
          </w:p>
        </w:tc>
        <w:tc>
          <w:tcPr>
            <w:tcW w:type="dxa" w:w="6912"/>
            <w:shd w:fill="F3F0E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Opere definite, autorizzate e documentate diventano parte centrale dell’accordo.</w:t>
            </w:r>
          </w:p>
        </w:tc>
      </w:tr>
      <w:tr>
        <w:trPr>
          <w:cantSplit/>
        </w:trPr>
        <w:tc>
          <w:tcPr>
            <w:tcW w:type="dxa" w:w="3024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/>
                <w:color w:val="1E4A32"/>
                <w:sz w:val="17"/>
              </w:rPr>
              <w:t>Progetto pilota per fasi</w:t>
            </w:r>
          </w:p>
        </w:tc>
        <w:tc>
          <w:tcPr>
            <w:tcW w:type="dxa" w:w="6912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Si avvia una zona limitata con obiettivi e milestone prima di estendere il progetto.</w:t>
            </w:r>
          </w:p>
        </w:tc>
      </w:tr>
      <w:tr>
        <w:trPr>
          <w:cantSplit/>
        </w:trPr>
        <w:tc>
          <w:tcPr>
            <w:tcW w:type="dxa" w:w="3024"/>
            <w:shd w:fill="F3F0E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/>
                <w:color w:val="1E4A32"/>
                <w:sz w:val="17"/>
              </w:rPr>
              <w:t>Più operatori coordinati</w:t>
            </w:r>
          </w:p>
        </w:tc>
        <w:tc>
          <w:tcPr>
            <w:tcW w:type="dxa" w:w="6912"/>
            <w:shd w:fill="F3F0E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Aree o attività distinte possono essere affidate a soggetti diversi sotto una governance unitaria.</w:t>
            </w:r>
          </w:p>
        </w:tc>
      </w:tr>
      <w:tr>
        <w:trPr>
          <w:cantSplit/>
        </w:trPr>
        <w:tc>
          <w:tcPr>
            <w:tcW w:type="dxa" w:w="3024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/>
                <w:color w:val="1E4A32"/>
                <w:sz w:val="17"/>
              </w:rPr>
              <w:t>Ricerca o partenariato sociale</w:t>
            </w:r>
          </w:p>
        </w:tc>
        <w:tc>
          <w:tcPr>
            <w:tcW w:type="dxa" w:w="6912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b w:val="0"/>
                <w:color w:val="222222"/>
                <w:sz w:val="17"/>
              </w:rPr>
              <w:t>Uso di aree e strutture per programmi finanziati, con risultati, responsabilità e durata definiti.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cantSplit/>
        </w:trPr>
        <w:tc>
          <w:tcPr>
            <w:tcW w:type="dxa" w:w="10148"/>
            <w:shd w:fill="F3F0E7"/>
            <w:tcMar>
              <w:top w:w="180" w:type="dxa"/>
              <w:start w:w="220" w:type="dxa"/>
              <w:bottom w:w="180" w:type="dxa"/>
              <w:end w:w="220" w:type="dxa"/>
            </w:tcMar>
            <w:tcBorders>
              <w:left w:sz="18" w:val="single" w:color="B86B36"/>
            </w:tcBorders>
          </w:tcPr>
          <w:p>
            <w:pPr>
              <w:keepNext w:val="0"/>
              <w:spacing w:before="0" w:after="80" w:line="259" w:lineRule="auto"/>
            </w:pPr>
            <w:r>
              <w:rPr>
                <w:rFonts w:ascii="Inter Display" w:hAnsi="Inter Display" w:eastAsia="Inter Display"/>
                <w:b/>
                <w:color w:val="B86B36"/>
                <w:sz w:val="22"/>
              </w:rPr>
              <w:t>PRINCIPIO DI SELEZIONE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Lato" w:hAnsi="Lato" w:eastAsia="Lato"/>
                <w:color w:val="222222"/>
                <w:sz w:val="18"/>
              </w:rPr>
              <w:t>Il partner ideale non è semplicemente chi propone il canone più alto. Deve dimostrare esperienza, capitale, capacità gestionale, compatibilità autorizzativa, garanzie, tempistiche realistiche e un interesse di lungo periodo coerente con la tutela della proprietà.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00" w:after="140" w:line="240" w:lineRule="auto"/>
      </w:pPr>
      <w:r>
        <w:rPr>
          <w:rFonts w:ascii="Inter Display" w:hAnsi="Inter Display" w:eastAsia="Inter Display"/>
          <w:b/>
          <w:color w:val="B86B36"/>
          <w:sz w:val="34"/>
        </w:rPr>
        <w:t xml:space="preserve">8  </w:t>
      </w:r>
      <w:r>
        <w:rPr>
          <w:rFonts w:ascii="Inter Display" w:hAnsi="Inter Display" w:eastAsia="Inter Display"/>
          <w:b/>
          <w:color w:val="1E4A32"/>
          <w:sz w:val="34"/>
        </w:rPr>
        <w:t>Dati confermati, osservazioni e verifiche</w:t>
      </w:r>
    </w:p>
    <w:p>
      <w:pPr>
        <w:keepNext w:val="0"/>
        <w:pBdr>
          <w:bottom w:val="single" w:sz="10" w:space="1" w:color="C99A45"/>
        </w:pBdr>
        <w:spacing w:before="0" w:after="100" w:line="259" w:lineRule="auto"/>
      </w:pPr>
    </w:p>
    <w:p>
      <w:pPr>
        <w:keepNext w:val="0"/>
        <w:spacing w:before="0" w:after="100" w:line="278" w:lineRule="auto"/>
      </w:pPr>
      <w:r>
        <w:rPr>
          <w:rFonts w:ascii="Lato" w:hAnsi="Lato" w:eastAsia="Lato"/>
          <w:i w:val="0"/>
          <w:color w:val="222222"/>
          <w:sz w:val="19"/>
        </w:rPr>
        <w:t>Per mantenere il dossier credibile, ogni informazione deve essere classificata in base alla sua origine. La seguente matrice separa ciò che è stato indicato dal referente, ciò che è visibile nelle immagini e ciò che richiede documentazione professionale.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rPr>
          <w:cantSplit/>
        </w:trPr>
        <w:tc>
          <w:tcPr>
            <w:tcW w:type="dxa" w:w="3383"/>
            <w:shd w:fill="1E4A32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keepNext w:val="0"/>
              <w:spacing w:before="0" w:after="0" w:line="259" w:lineRule="auto"/>
              <w:jc w:val="center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INDICATO DAL REFERENTE</w:t>
            </w:r>
          </w:p>
        </w:tc>
        <w:tc>
          <w:tcPr>
            <w:tcW w:type="dxa" w:w="3383"/>
            <w:shd w:fill="B86B36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keepNext w:val="0"/>
              <w:spacing w:before="0" w:after="0" w:line="259" w:lineRule="auto"/>
              <w:jc w:val="center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OSSERVABILE NELLE IMMAGINI</w:t>
            </w:r>
          </w:p>
        </w:tc>
        <w:tc>
          <w:tcPr>
            <w:tcW w:type="dxa" w:w="3383"/>
            <w:shd w:fill="C99A45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keepNext w:val="0"/>
              <w:spacing w:before="0" w:after="0" w:line="259" w:lineRule="auto"/>
              <w:jc w:val="center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DA VERIFICARE</w:t>
            </w:r>
          </w:p>
        </w:tc>
      </w:tr>
      <w:tr>
        <w:trPr>
          <w:cantSplit/>
        </w:trPr>
        <w:tc>
          <w:tcPr>
            <w:tcW w:type="dxa" w:w="3312"/>
            <w:shd w:fill="FFFFFF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Superficie circa 35 ha / 85-87 acri</w:t>
            </w:r>
          </w:p>
        </w:tc>
        <w:tc>
          <w:tcPr>
            <w:tcW w:type="dxa" w:w="3312"/>
            <w:shd w:fill="FFFFFF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Perimetro irregolare delineato</w:t>
            </w:r>
          </w:p>
        </w:tc>
        <w:tc>
          <w:tcPr>
            <w:tcW w:type="dxa" w:w="3312"/>
            <w:shd w:fill="FFFFFF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Superficie catastale e particelle</w:t>
            </w:r>
          </w:p>
        </w:tc>
      </w:tr>
      <w:tr>
        <w:trPr>
          <w:cantSplit/>
        </w:trPr>
        <w:tc>
          <w:tcPr>
            <w:tcW w:type="dxa" w:w="3312"/>
            <w:shd w:fill="F3F0E7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Due grandi fabbricati principali</w:t>
            </w:r>
          </w:p>
        </w:tc>
        <w:tc>
          <w:tcPr>
            <w:tcW w:type="dxa" w:w="3312"/>
            <w:shd w:fill="F3F0E7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Nuclei costruiti centrali</w:t>
            </w:r>
          </w:p>
        </w:tc>
        <w:tc>
          <w:tcPr>
            <w:tcW w:type="dxa" w:w="3312"/>
            <w:shd w:fill="F3F0E7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Numero, uso, titoli e stato edifici</w:t>
            </w:r>
          </w:p>
        </w:tc>
      </w:tr>
      <w:tr>
        <w:trPr>
          <w:cantSplit/>
        </w:trPr>
        <w:tc>
          <w:tcPr>
            <w:tcW w:type="dxa" w:w="3312"/>
            <w:shd w:fill="FFFFFF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Circa 10 serre grandi</w:t>
            </w:r>
          </w:p>
        </w:tc>
        <w:tc>
          <w:tcPr>
            <w:tcW w:type="dxa" w:w="3312"/>
            <w:shd w:fill="FFFFFF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Strutture coperte/serricole visibili</w:t>
            </w:r>
          </w:p>
        </w:tc>
        <w:tc>
          <w:tcPr>
            <w:tcW w:type="dxa" w:w="3312"/>
            <w:shd w:fill="FFFFFF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Conteggio, dimensioni e regolarità</w:t>
            </w:r>
          </w:p>
        </w:tc>
      </w:tr>
      <w:tr>
        <w:trPr>
          <w:cantSplit/>
        </w:trPr>
        <w:tc>
          <w:tcPr>
            <w:tcW w:type="dxa" w:w="3312"/>
            <w:shd w:fill="F3F0E7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Strutture tecniche accessorie</w:t>
            </w:r>
          </w:p>
        </w:tc>
        <w:tc>
          <w:tcPr>
            <w:tcW w:type="dxa" w:w="3312"/>
            <w:shd w:fill="F3F0E7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Piccoli volumi e piste interne</w:t>
            </w:r>
          </w:p>
        </w:tc>
        <w:tc>
          <w:tcPr>
            <w:tcW w:type="dxa" w:w="3312"/>
            <w:shd w:fill="F3F0E7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Inventario e sicurezza</w:t>
            </w:r>
          </w:p>
        </w:tc>
      </w:tr>
      <w:tr>
        <w:trPr>
          <w:cantSplit/>
        </w:trPr>
        <w:tc>
          <w:tcPr>
            <w:tcW w:type="dxa" w:w="3312"/>
            <w:shd w:fill="FFFFFF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Impianto di irrigazione</w:t>
            </w:r>
          </w:p>
        </w:tc>
        <w:tc>
          <w:tcPr>
            <w:tcW w:type="dxa" w:w="3312"/>
            <w:shd w:fill="FFFFFF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Maglia agricola organizzata</w:t>
            </w:r>
          </w:p>
        </w:tc>
        <w:tc>
          <w:tcPr>
            <w:tcW w:type="dxa" w:w="3312"/>
            <w:shd w:fill="FFFFFF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Funzionamento, tracciato e costi</w:t>
            </w:r>
          </w:p>
        </w:tc>
      </w:tr>
      <w:tr>
        <w:trPr>
          <w:cantSplit/>
        </w:trPr>
        <w:tc>
          <w:tcPr>
            <w:tcW w:type="dxa" w:w="3312"/>
            <w:shd w:fill="F3F0E7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Almeno un pozzo</w:t>
            </w:r>
          </w:p>
        </w:tc>
        <w:tc>
          <w:tcPr>
            <w:tcW w:type="dxa" w:w="3312"/>
            <w:shd w:fill="F3F0E7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Contesto agricolo irrigato circostante</w:t>
            </w:r>
          </w:p>
        </w:tc>
        <w:tc>
          <w:tcPr>
            <w:tcW w:type="dxa" w:w="3312"/>
            <w:shd w:fill="F3F0E7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Autorizzazione, portata e qualità acqua</w:t>
            </w:r>
          </w:p>
        </w:tc>
      </w:tr>
      <w:tr>
        <w:trPr>
          <w:cantSplit/>
        </w:trPr>
        <w:tc>
          <w:tcPr>
            <w:tcW w:type="dxa" w:w="3312"/>
            <w:shd w:fill="FFFFFF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Obiettivo di trovare partner</w:t>
            </w:r>
          </w:p>
        </w:tc>
        <w:tc>
          <w:tcPr>
            <w:tcW w:type="dxa" w:w="3312"/>
            <w:shd w:fill="FFFFFF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Persistenza di filari storici</w:t>
            </w:r>
          </w:p>
        </w:tc>
        <w:tc>
          <w:tcPr>
            <w:tcW w:type="dxa" w:w="3312"/>
            <w:shd w:fill="FFFFFF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Stato agronomico e produttività</w:t>
            </w:r>
          </w:p>
        </w:tc>
      </w:tr>
      <w:tr>
        <w:trPr>
          <w:cantSplit/>
        </w:trPr>
        <w:tc>
          <w:tcPr>
            <w:tcW w:type="dxa" w:w="3312"/>
            <w:shd w:fill="F3F0E7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Volontà di mantenere la proprietà</w:t>
            </w:r>
          </w:p>
        </w:tc>
        <w:tc>
          <w:tcPr>
            <w:tcW w:type="dxa" w:w="3312"/>
            <w:shd w:fill="F3F0E7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Accesso lineare verso sud-est</w:t>
            </w:r>
          </w:p>
        </w:tc>
        <w:tc>
          <w:tcPr>
            <w:tcW w:type="dxa" w:w="3312"/>
            <w:shd w:fill="F3F0E7"/>
            <w:tcMar>
              <w:top w:w="78" w:type="dxa"/>
              <w:start w:w="80" w:type="dxa"/>
              <w:bottom w:w="78" w:type="dxa"/>
              <w:end w:w="8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Lato" w:hAnsi="Lato" w:eastAsia="Lato"/>
                <w:color w:val="222222"/>
                <w:sz w:val="16"/>
              </w:rPr>
              <w:t>Titolo dell’accesso o servitù</w:t>
            </w:r>
          </w:p>
        </w:tc>
      </w:tr>
    </w:tbl>
    <w:p>
      <w:pPr>
        <w:pStyle w:val="Heading2"/>
        <w:keepNext/>
        <w:spacing w:before="40" w:after="140" w:line="240" w:lineRule="auto"/>
      </w:pPr>
      <w:r>
        <w:rPr>
          <w:rFonts w:ascii="Inter Display" w:hAnsi="Inter Display" w:eastAsia="Inter Display"/>
          <w:b/>
          <w:color w:val="1E4A32"/>
          <w:sz w:val="26"/>
        </w:rPr>
        <w:t>Verifiche prioritarie prima della diffusione ampia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Visure catastali, estratti di mappa e ricostruzione del perimetro effettivamente incluso nel progetto.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Titoli di proprietà e stato della successione, con conferma dei soggetti autorizzati a negoziare.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Inventario fotografico e metrico di fabbricati, serre, utility shacks, vasche, pozzi, pompe e accessi.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Conformità urbanistica ed edilizia dei fabbricati e delle strutture serricole.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Documentazione del pozzo e prova di portata, qualità dell’acqua e stato delle pompe.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Rilievo della rete irrigua, valutazione delle perdite e stima del costo di ripristino.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Sopralluogo agronomico: specie, età, densità, salute, produttività e recuperabilità dei filari.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Verifica di servitù, accessi, strade interne, fasce di rispetto, vincoli aeroportuali, idraulici e ambientali.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Rilievo strutturale e impiantistico dei due fabbricati principali.</w:t>
      </w:r>
    </w:p>
    <w:p>
      <w:pPr>
        <w:pStyle w:val="ListBullet"/>
        <w:keepNext w:val="0"/>
        <w:spacing w:before="0" w:after="50" w:line="264" w:lineRule="auto"/>
      </w:pPr>
      <w:r>
        <w:rPr>
          <w:rFonts w:ascii="Lato" w:hAnsi="Lato" w:eastAsia="Lato"/>
          <w:color w:val="222222"/>
          <w:sz w:val="18"/>
        </w:rPr>
        <w:t>Definizione di quali dati e documenti possono essere pubblici e quali devono restare nella data room.</w:t>
      </w:r>
    </w:p>
    <w:p>
      <w:r>
        <w:br w:type="page"/>
      </w:r>
    </w:p>
    <w:p>
      <w:pPr>
        <w:pStyle w:val="Heading1"/>
        <w:keepNext/>
        <w:spacing w:before="100" w:after="140" w:line="240" w:lineRule="auto"/>
      </w:pPr>
      <w:r>
        <w:rPr>
          <w:rFonts w:ascii="Inter Display" w:hAnsi="Inter Display" w:eastAsia="Inter Display"/>
          <w:b/>
          <w:color w:val="B86B36"/>
          <w:sz w:val="34"/>
        </w:rPr>
        <w:t xml:space="preserve">9  </w:t>
      </w:r>
      <w:r>
        <w:rPr>
          <w:rFonts w:ascii="Inter Display" w:hAnsi="Inter Display" w:eastAsia="Inter Display"/>
          <w:b/>
          <w:color w:val="1E4A32"/>
          <w:sz w:val="34"/>
        </w:rPr>
        <w:t>Prossimi passi consigliati</w:t>
      </w:r>
    </w:p>
    <w:p>
      <w:pPr>
        <w:keepNext w:val="0"/>
        <w:pBdr>
          <w:bottom w:val="single" w:sz="10" w:space="1" w:color="C99A45"/>
        </w:pBdr>
        <w:spacing w:before="0" w:after="10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</w:trPr>
        <w:tc>
          <w:tcPr>
            <w:tcW w:type="dxa" w:w="792"/>
            <w:shd w:fill="B86B36"/>
            <w:tcMar>
              <w:top w:w="120" w:type="dxa"/>
              <w:start w:w="60" w:type="dxa"/>
              <w:bottom w:w="120" w:type="dxa"/>
              <w:end w:w="60" w:type="dxa"/>
            </w:tcMar>
          </w:tcPr>
          <w:p>
            <w:pPr>
              <w:keepNext w:val="0"/>
              <w:spacing w:before="0" w:after="0" w:line="259" w:lineRule="auto"/>
              <w:jc w:val="center"/>
            </w:pPr>
            <w:r>
              <w:rPr>
                <w:rFonts w:ascii="Inter Display" w:hAnsi="Inter Display" w:eastAsia="Inter Display"/>
                <w:b/>
                <w:color w:val="FFFFFF"/>
                <w:sz w:val="24"/>
              </w:rPr>
              <w:t>1</w:t>
            </w:r>
          </w:p>
        </w:tc>
        <w:tc>
          <w:tcPr>
            <w:tcW w:type="dxa" w:w="9000"/>
            <w:shd w:fill="F3F0E7"/>
            <w:tcMar>
              <w:top w:w="90" w:type="dxa"/>
              <w:start w:w="135" w:type="dxa"/>
              <w:bottom w:w="90" w:type="dxa"/>
              <w:end w:w="135" w:type="dxa"/>
            </w:tcMar>
          </w:tcPr>
          <w:p>
            <w:pPr>
              <w:keepNext w:val="0"/>
              <w:spacing w:before="0" w:after="4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19"/>
              </w:rPr>
              <w:t>Confermare il perimetro</w:t>
            </w:r>
          </w:p>
          <w:p>
            <w:pPr>
              <w:keepNext w:val="0"/>
              <w:spacing w:before="0" w:after="0" w:line="254" w:lineRule="auto"/>
            </w:pPr>
            <w:r>
              <w:rPr>
                <w:rFonts w:ascii="Lato" w:hAnsi="Lato" w:eastAsia="Lato"/>
                <w:color w:val="222222"/>
                <w:sz w:val="16"/>
              </w:rPr>
              <w:t>Raccogliere fogli e particelle, escludere eventuali terreni estranei e produrre una mappa tecnica preliminare.</w:t>
            </w:r>
          </w:p>
        </w:tc>
      </w:tr>
    </w:tbl>
    <w:p>
      <w:pPr>
        <w:keepNext w:val="0"/>
        <w:spacing w:before="0" w:after="2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</w:trPr>
        <w:tc>
          <w:tcPr>
            <w:tcW w:type="dxa" w:w="792"/>
            <w:shd w:fill="B86B36"/>
            <w:tcMar>
              <w:top w:w="120" w:type="dxa"/>
              <w:start w:w="60" w:type="dxa"/>
              <w:bottom w:w="120" w:type="dxa"/>
              <w:end w:w="60" w:type="dxa"/>
            </w:tcMar>
          </w:tcPr>
          <w:p>
            <w:pPr>
              <w:keepNext w:val="0"/>
              <w:spacing w:before="0" w:after="0" w:line="259" w:lineRule="auto"/>
              <w:jc w:val="center"/>
            </w:pPr>
            <w:r>
              <w:rPr>
                <w:rFonts w:ascii="Inter Display" w:hAnsi="Inter Display" w:eastAsia="Inter Display"/>
                <w:b/>
                <w:color w:val="FFFFFF"/>
                <w:sz w:val="24"/>
              </w:rPr>
              <w:t>2</w:t>
            </w:r>
          </w:p>
        </w:tc>
        <w:tc>
          <w:tcPr>
            <w:tcW w:type="dxa" w:w="9000"/>
            <w:shd w:fill="F3F0E7"/>
            <w:tcMar>
              <w:top w:w="90" w:type="dxa"/>
              <w:start w:w="135" w:type="dxa"/>
              <w:bottom w:w="90" w:type="dxa"/>
              <w:end w:w="135" w:type="dxa"/>
            </w:tcMar>
          </w:tcPr>
          <w:p>
            <w:pPr>
              <w:keepNext w:val="0"/>
              <w:spacing w:before="0" w:after="4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19"/>
              </w:rPr>
              <w:t>Creare l’inventario fisico</w:t>
            </w:r>
          </w:p>
          <w:p>
            <w:pPr>
              <w:keepNext w:val="0"/>
              <w:spacing w:before="0" w:after="0" w:line="254" w:lineRule="auto"/>
            </w:pPr>
            <w:r>
              <w:rPr>
                <w:rFonts w:ascii="Lato" w:hAnsi="Lato" w:eastAsia="Lato"/>
                <w:color w:val="222222"/>
                <w:sz w:val="16"/>
              </w:rPr>
              <w:t>Numerare edifici, serre, pozzi, vasche, pompe, cancelli e strutture tecniche; associare foto, stato e misure.</w:t>
            </w:r>
          </w:p>
        </w:tc>
      </w:tr>
    </w:tbl>
    <w:p>
      <w:pPr>
        <w:keepNext w:val="0"/>
        <w:spacing w:before="0" w:after="2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</w:trPr>
        <w:tc>
          <w:tcPr>
            <w:tcW w:type="dxa" w:w="792"/>
            <w:shd w:fill="B86B36"/>
            <w:tcMar>
              <w:top w:w="120" w:type="dxa"/>
              <w:start w:w="60" w:type="dxa"/>
              <w:bottom w:w="120" w:type="dxa"/>
              <w:end w:w="60" w:type="dxa"/>
            </w:tcMar>
          </w:tcPr>
          <w:p>
            <w:pPr>
              <w:keepNext w:val="0"/>
              <w:spacing w:before="0" w:after="0" w:line="259" w:lineRule="auto"/>
              <w:jc w:val="center"/>
            </w:pPr>
            <w:r>
              <w:rPr>
                <w:rFonts w:ascii="Inter Display" w:hAnsi="Inter Display" w:eastAsia="Inter Display"/>
                <w:b/>
                <w:color w:val="FFFFFF"/>
                <w:sz w:val="24"/>
              </w:rPr>
              <w:t>3</w:t>
            </w:r>
          </w:p>
        </w:tc>
        <w:tc>
          <w:tcPr>
            <w:tcW w:type="dxa" w:w="9000"/>
            <w:shd w:fill="F3F0E7"/>
            <w:tcMar>
              <w:top w:w="90" w:type="dxa"/>
              <w:start w:w="135" w:type="dxa"/>
              <w:bottom w:w="90" w:type="dxa"/>
              <w:end w:w="135" w:type="dxa"/>
            </w:tcMar>
          </w:tcPr>
          <w:p>
            <w:pPr>
              <w:keepNext w:val="0"/>
              <w:spacing w:before="0" w:after="4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19"/>
              </w:rPr>
              <w:t>Preparare un sopralluogo fotografico</w:t>
            </w:r>
          </w:p>
          <w:p>
            <w:pPr>
              <w:keepNext w:val="0"/>
              <w:spacing w:before="0" w:after="0" w:line="254" w:lineRule="auto"/>
            </w:pPr>
            <w:r>
              <w:rPr>
                <w:rFonts w:ascii="Lato" w:hAnsi="Lato" w:eastAsia="Lato"/>
                <w:color w:val="222222"/>
                <w:sz w:val="16"/>
              </w:rPr>
              <w:t>Realizzare immagini a terra per ogni zona e, se legalmente consentito, riprese aeree autorizzate.</w:t>
            </w:r>
          </w:p>
        </w:tc>
      </w:tr>
    </w:tbl>
    <w:p>
      <w:pPr>
        <w:keepNext w:val="0"/>
        <w:spacing w:before="0" w:after="2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</w:trPr>
        <w:tc>
          <w:tcPr>
            <w:tcW w:type="dxa" w:w="792"/>
            <w:shd w:fill="B86B36"/>
            <w:tcMar>
              <w:top w:w="120" w:type="dxa"/>
              <w:start w:w="60" w:type="dxa"/>
              <w:bottom w:w="120" w:type="dxa"/>
              <w:end w:w="60" w:type="dxa"/>
            </w:tcMar>
          </w:tcPr>
          <w:p>
            <w:pPr>
              <w:keepNext w:val="0"/>
              <w:spacing w:before="0" w:after="0" w:line="259" w:lineRule="auto"/>
              <w:jc w:val="center"/>
            </w:pPr>
            <w:r>
              <w:rPr>
                <w:rFonts w:ascii="Inter Display" w:hAnsi="Inter Display" w:eastAsia="Inter Display"/>
                <w:b/>
                <w:color w:val="FFFFFF"/>
                <w:sz w:val="24"/>
              </w:rPr>
              <w:t>4</w:t>
            </w:r>
          </w:p>
        </w:tc>
        <w:tc>
          <w:tcPr>
            <w:tcW w:type="dxa" w:w="9000"/>
            <w:shd w:fill="F3F0E7"/>
            <w:tcMar>
              <w:top w:w="90" w:type="dxa"/>
              <w:start w:w="135" w:type="dxa"/>
              <w:bottom w:w="90" w:type="dxa"/>
              <w:end w:w="135" w:type="dxa"/>
            </w:tcMar>
          </w:tcPr>
          <w:p>
            <w:pPr>
              <w:keepNext w:val="0"/>
              <w:spacing w:before="0" w:after="4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19"/>
              </w:rPr>
              <w:t>Verificare acqua e irrigazione</w:t>
            </w:r>
          </w:p>
          <w:p>
            <w:pPr>
              <w:keepNext w:val="0"/>
              <w:spacing w:before="0" w:after="0" w:line="254" w:lineRule="auto"/>
            </w:pPr>
            <w:r>
              <w:rPr>
                <w:rFonts w:ascii="Lato" w:hAnsi="Lato" w:eastAsia="Lato"/>
                <w:color w:val="222222"/>
                <w:sz w:val="16"/>
              </w:rPr>
              <w:t>Ispezionare pozzo, pompe e rete, perché la disponibilità idrica sarà una delle prime domande degli operatori.</w:t>
            </w:r>
          </w:p>
        </w:tc>
      </w:tr>
    </w:tbl>
    <w:p>
      <w:pPr>
        <w:keepNext w:val="0"/>
        <w:spacing w:before="0" w:after="2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</w:trPr>
        <w:tc>
          <w:tcPr>
            <w:tcW w:type="dxa" w:w="792"/>
            <w:shd w:fill="B86B36"/>
            <w:tcMar>
              <w:top w:w="120" w:type="dxa"/>
              <w:start w:w="60" w:type="dxa"/>
              <w:bottom w:w="120" w:type="dxa"/>
              <w:end w:w="60" w:type="dxa"/>
            </w:tcMar>
          </w:tcPr>
          <w:p>
            <w:pPr>
              <w:keepNext w:val="0"/>
              <w:spacing w:before="0" w:after="0" w:line="259" w:lineRule="auto"/>
              <w:jc w:val="center"/>
            </w:pPr>
            <w:r>
              <w:rPr>
                <w:rFonts w:ascii="Inter Display" w:hAnsi="Inter Display" w:eastAsia="Inter Display"/>
                <w:b/>
                <w:color w:val="FFFFFF"/>
                <w:sz w:val="24"/>
              </w:rPr>
              <w:t>5</w:t>
            </w:r>
          </w:p>
        </w:tc>
        <w:tc>
          <w:tcPr>
            <w:tcW w:type="dxa" w:w="9000"/>
            <w:shd w:fill="F3F0E7"/>
            <w:tcMar>
              <w:top w:w="90" w:type="dxa"/>
              <w:start w:w="135" w:type="dxa"/>
              <w:bottom w:w="90" w:type="dxa"/>
              <w:end w:w="135" w:type="dxa"/>
            </w:tcMar>
          </w:tcPr>
          <w:p>
            <w:pPr>
              <w:keepNext w:val="0"/>
              <w:spacing w:before="0" w:after="4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19"/>
              </w:rPr>
              <w:t>Produrre una scheda tecnica verificata</w:t>
            </w:r>
          </w:p>
          <w:p>
            <w:pPr>
              <w:keepNext w:val="0"/>
              <w:spacing w:before="0" w:after="0" w:line="254" w:lineRule="auto"/>
            </w:pPr>
            <w:r>
              <w:rPr>
                <w:rFonts w:ascii="Lato" w:hAnsi="Lato" w:eastAsia="Lato"/>
                <w:color w:val="222222"/>
                <w:sz w:val="16"/>
              </w:rPr>
              <w:t>Trasformare questo dossier in una brochure ufficiale con dati catastali, superfici, planimetrie e descrizioni validate.</w:t>
            </w:r>
          </w:p>
        </w:tc>
      </w:tr>
    </w:tbl>
    <w:p>
      <w:pPr>
        <w:keepNext w:val="0"/>
        <w:spacing w:before="0" w:after="2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</w:trPr>
        <w:tc>
          <w:tcPr>
            <w:tcW w:type="dxa" w:w="792"/>
            <w:shd w:fill="B86B36"/>
            <w:tcMar>
              <w:top w:w="120" w:type="dxa"/>
              <w:start w:w="60" w:type="dxa"/>
              <w:bottom w:w="120" w:type="dxa"/>
              <w:end w:w="60" w:type="dxa"/>
            </w:tcMar>
          </w:tcPr>
          <w:p>
            <w:pPr>
              <w:keepNext w:val="0"/>
              <w:spacing w:before="0" w:after="0" w:line="259" w:lineRule="auto"/>
              <w:jc w:val="center"/>
            </w:pPr>
            <w:r>
              <w:rPr>
                <w:rFonts w:ascii="Inter Display" w:hAnsi="Inter Display" w:eastAsia="Inter Display"/>
                <w:b/>
                <w:color w:val="FFFFFF"/>
                <w:sz w:val="24"/>
              </w:rPr>
              <w:t>6</w:t>
            </w:r>
          </w:p>
        </w:tc>
        <w:tc>
          <w:tcPr>
            <w:tcW w:type="dxa" w:w="9000"/>
            <w:shd w:fill="F3F0E7"/>
            <w:tcMar>
              <w:top w:w="90" w:type="dxa"/>
              <w:start w:w="135" w:type="dxa"/>
              <w:bottom w:w="90" w:type="dxa"/>
              <w:end w:w="135" w:type="dxa"/>
            </w:tcMar>
          </w:tcPr>
          <w:p>
            <w:pPr>
              <w:keepNext w:val="0"/>
              <w:spacing w:before="0" w:after="4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19"/>
              </w:rPr>
              <w:t>Lanciare il sito professionale</w:t>
            </w:r>
          </w:p>
          <w:p>
            <w:pPr>
              <w:keepNext w:val="0"/>
              <w:spacing w:before="0" w:after="0" w:line="254" w:lineRule="auto"/>
            </w:pPr>
            <w:r>
              <w:rPr>
                <w:rFonts w:ascii="Lato" w:hAnsi="Lato" w:eastAsia="Lato"/>
                <w:color w:val="222222"/>
                <w:sz w:val="16"/>
              </w:rPr>
              <w:t>Pubblicare versione italiana e inglese con modulo strutturato di manifestazione d’interesse.</w:t>
            </w:r>
          </w:p>
        </w:tc>
      </w:tr>
    </w:tbl>
    <w:p>
      <w:pPr>
        <w:keepNext w:val="0"/>
        <w:spacing w:before="0" w:after="2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</w:trPr>
        <w:tc>
          <w:tcPr>
            <w:tcW w:type="dxa" w:w="792"/>
            <w:shd w:fill="B86B36"/>
            <w:tcMar>
              <w:top w:w="120" w:type="dxa"/>
              <w:start w:w="60" w:type="dxa"/>
              <w:bottom w:w="120" w:type="dxa"/>
              <w:end w:w="60" w:type="dxa"/>
            </w:tcMar>
          </w:tcPr>
          <w:p>
            <w:pPr>
              <w:keepNext w:val="0"/>
              <w:spacing w:before="0" w:after="0" w:line="259" w:lineRule="auto"/>
              <w:jc w:val="center"/>
            </w:pPr>
            <w:r>
              <w:rPr>
                <w:rFonts w:ascii="Inter Display" w:hAnsi="Inter Display" w:eastAsia="Inter Display"/>
                <w:b/>
                <w:color w:val="FFFFFF"/>
                <w:sz w:val="24"/>
              </w:rPr>
              <w:t>7</w:t>
            </w:r>
          </w:p>
        </w:tc>
        <w:tc>
          <w:tcPr>
            <w:tcW w:type="dxa" w:w="9000"/>
            <w:shd w:fill="F3F0E7"/>
            <w:tcMar>
              <w:top w:w="90" w:type="dxa"/>
              <w:start w:w="135" w:type="dxa"/>
              <w:bottom w:w="90" w:type="dxa"/>
              <w:end w:w="135" w:type="dxa"/>
            </w:tcMar>
          </w:tcPr>
          <w:p>
            <w:pPr>
              <w:keepNext w:val="0"/>
              <w:spacing w:before="0" w:after="4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19"/>
              </w:rPr>
              <w:t>Avviare outreach mirato</w:t>
            </w:r>
          </w:p>
          <w:p>
            <w:pPr>
              <w:keepNext w:val="0"/>
              <w:spacing w:before="0" w:after="0" w:line="254" w:lineRule="auto"/>
            </w:pPr>
            <w:r>
              <w:rPr>
                <w:rFonts w:ascii="Lato" w:hAnsi="Lato" w:eastAsia="Lato"/>
                <w:color w:val="222222"/>
                <w:sz w:val="16"/>
              </w:rPr>
              <w:t>Contattare direttamente operatori agricoli, vivaistici, sociali, turistici e di ricerca selezionati.</w:t>
            </w:r>
          </w:p>
        </w:tc>
      </w:tr>
    </w:tbl>
    <w:p>
      <w:pPr>
        <w:keepNext w:val="0"/>
        <w:spacing w:before="0" w:after="2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</w:trPr>
        <w:tc>
          <w:tcPr>
            <w:tcW w:type="dxa" w:w="792"/>
            <w:shd w:fill="B86B36"/>
            <w:tcMar>
              <w:top w:w="120" w:type="dxa"/>
              <w:start w:w="60" w:type="dxa"/>
              <w:bottom w:w="120" w:type="dxa"/>
              <w:end w:w="60" w:type="dxa"/>
            </w:tcMar>
          </w:tcPr>
          <w:p>
            <w:pPr>
              <w:keepNext w:val="0"/>
              <w:spacing w:before="0" w:after="0" w:line="259" w:lineRule="auto"/>
              <w:jc w:val="center"/>
            </w:pPr>
            <w:r>
              <w:rPr>
                <w:rFonts w:ascii="Inter Display" w:hAnsi="Inter Display" w:eastAsia="Inter Display"/>
                <w:b/>
                <w:color w:val="FFFFFF"/>
                <w:sz w:val="24"/>
              </w:rPr>
              <w:t>8</w:t>
            </w:r>
          </w:p>
        </w:tc>
        <w:tc>
          <w:tcPr>
            <w:tcW w:type="dxa" w:w="9000"/>
            <w:shd w:fill="F3F0E7"/>
            <w:tcMar>
              <w:top w:w="90" w:type="dxa"/>
              <w:start w:w="135" w:type="dxa"/>
              <w:bottom w:w="90" w:type="dxa"/>
              <w:end w:w="135" w:type="dxa"/>
            </w:tcMar>
          </w:tcPr>
          <w:p>
            <w:pPr>
              <w:keepNext w:val="0"/>
              <w:spacing w:before="0" w:after="4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19"/>
              </w:rPr>
              <w:t>Qualificare e confrontare</w:t>
            </w:r>
          </w:p>
          <w:p>
            <w:pPr>
              <w:keepNext w:val="0"/>
              <w:spacing w:before="0" w:after="0" w:line="254" w:lineRule="auto"/>
            </w:pPr>
            <w:r>
              <w:rPr>
                <w:rFonts w:ascii="Lato" w:hAnsi="Lato" w:eastAsia="Lato"/>
                <w:color w:val="222222"/>
                <w:sz w:val="16"/>
              </w:rPr>
              <w:t>Richiedere esperienza, capitale, piano, investimenti, durata, garanzie e tempistiche prima di concedere accesso ai documenti riservati.</w:t>
            </w:r>
          </w:p>
        </w:tc>
      </w:tr>
    </w:tbl>
    <w:p>
      <w:pPr>
        <w:keepNext w:val="0"/>
        <w:spacing w:before="0" w:after="2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cantSplit/>
        </w:trPr>
        <w:tc>
          <w:tcPr>
            <w:tcW w:type="dxa" w:w="10148"/>
            <w:shd w:fill="E8F0EA"/>
            <w:tcMar>
              <w:top w:w="180" w:type="dxa"/>
              <w:start w:w="220" w:type="dxa"/>
              <w:bottom w:w="180" w:type="dxa"/>
              <w:end w:w="220" w:type="dxa"/>
            </w:tcMar>
            <w:tcBorders>
              <w:left w:sz="18" w:val="single" w:color="1E4A32"/>
            </w:tcBorders>
          </w:tcPr>
          <w:p>
            <w:pPr>
              <w:keepNext w:val="0"/>
              <w:spacing w:before="0" w:after="80" w:line="259" w:lineRule="auto"/>
            </w:pPr>
            <w:r>
              <w:rPr>
                <w:rFonts w:ascii="Inter Display" w:hAnsi="Inter Display" w:eastAsia="Inter Display"/>
                <w:b/>
                <w:color w:val="1E4A32"/>
                <w:sz w:val="22"/>
              </w:rPr>
              <w:t>RISULTATO ATTESO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Lato" w:hAnsi="Lato" w:eastAsia="Lato"/>
                <w:color w:val="222222"/>
                <w:sz w:val="18"/>
              </w:rPr>
              <w:t>Un pacchetto di presentazione credibile composto da sito bilingue, brochure, mappa indicativa, galleria fotografica, modulo di manifestazione d’interesse, processo di qualifica e data room riservata per i soggetti seri.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00" w:after="140" w:line="240" w:lineRule="auto"/>
      </w:pPr>
      <w:r>
        <w:rPr>
          <w:rFonts w:ascii="Inter Display" w:hAnsi="Inter Display" w:eastAsia="Inter Display"/>
          <w:b/>
          <w:color w:val="B86B36"/>
          <w:sz w:val="34"/>
        </w:rPr>
        <w:t xml:space="preserve">10  </w:t>
      </w:r>
      <w:r>
        <w:rPr>
          <w:rFonts w:ascii="Inter Display" w:hAnsi="Inter Display" w:eastAsia="Inter Display"/>
          <w:b/>
          <w:color w:val="1E4A32"/>
          <w:sz w:val="34"/>
        </w:rPr>
        <w:t>Scheda sintetica per interlocutori qualificati</w:t>
      </w:r>
    </w:p>
    <w:p>
      <w:pPr>
        <w:keepNext w:val="0"/>
        <w:pBdr>
          <w:bottom w:val="single" w:sz="10" w:space="1" w:color="C99A45"/>
        </w:pBdr>
        <w:spacing w:before="0" w:after="10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</w:trPr>
        <w:tc>
          <w:tcPr>
            <w:tcW w:type="dxa" w:w="2520"/>
            <w:shd w:fill="1E4A32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Denominazione di lavoro</w:t>
            </w:r>
          </w:p>
        </w:tc>
        <w:tc>
          <w:tcPr>
            <w:tcW w:type="dxa" w:w="7416"/>
            <w:shd w:fill="FFFFFF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color w:val="222222"/>
                <w:sz w:val="17"/>
              </w:rPr>
              <w:t>Aranceto Zuddas</w:t>
            </w:r>
          </w:p>
        </w:tc>
      </w:tr>
      <w:tr>
        <w:trPr>
          <w:cantSplit/>
        </w:trPr>
        <w:tc>
          <w:tcPr>
            <w:tcW w:type="dxa" w:w="2520"/>
            <w:shd w:fill="1E4A32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Localizzazione</w:t>
            </w:r>
          </w:p>
        </w:tc>
        <w:tc>
          <w:tcPr>
            <w:tcW w:type="dxa" w:w="7416"/>
            <w:shd w:fill="F3F0E7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color w:val="222222"/>
                <w:sz w:val="17"/>
              </w:rPr>
              <w:t>Area agricola di Decimomannu, Sardegna</w:t>
            </w:r>
          </w:p>
        </w:tc>
      </w:tr>
      <w:tr>
        <w:trPr>
          <w:cantSplit/>
        </w:trPr>
        <w:tc>
          <w:tcPr>
            <w:tcW w:type="dxa" w:w="2520"/>
            <w:shd w:fill="1E4A32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Superficie indicativa</w:t>
            </w:r>
          </w:p>
        </w:tc>
        <w:tc>
          <w:tcPr>
            <w:tcW w:type="dxa" w:w="7416"/>
            <w:shd w:fill="FFFFFF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color w:val="222222"/>
                <w:sz w:val="17"/>
              </w:rPr>
              <w:t>Circa 35 ettari / 85-87 acri, da confermare</w:t>
            </w:r>
          </w:p>
        </w:tc>
      </w:tr>
      <w:tr>
        <w:trPr>
          <w:cantSplit/>
        </w:trPr>
        <w:tc>
          <w:tcPr>
            <w:tcW w:type="dxa" w:w="2520"/>
            <w:shd w:fill="1E4A32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Configurazione</w:t>
            </w:r>
          </w:p>
        </w:tc>
        <w:tc>
          <w:tcPr>
            <w:tcW w:type="dxa" w:w="7416"/>
            <w:shd w:fill="F3F0E7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color w:val="222222"/>
                <w:sz w:val="17"/>
              </w:rPr>
              <w:t>Fondo agricolo irregolare con blocco principale, nucleo centrale, porzione sud-occidentale e collegamento verso sud-est</w:t>
            </w:r>
          </w:p>
        </w:tc>
      </w:tr>
      <w:tr>
        <w:trPr>
          <w:cantSplit/>
        </w:trPr>
        <w:tc>
          <w:tcPr>
            <w:tcW w:type="dxa" w:w="2520"/>
            <w:shd w:fill="1E4A32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Dotazioni preliminari</w:t>
            </w:r>
          </w:p>
        </w:tc>
        <w:tc>
          <w:tcPr>
            <w:tcW w:type="dxa" w:w="7416"/>
            <w:shd w:fill="FFFFFF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color w:val="222222"/>
                <w:sz w:val="17"/>
              </w:rPr>
              <w:t>Due fabbricati principali, circa 10 serre, strutture accessorie, irrigazione e almeno un pozzo da verificare</w:t>
            </w:r>
          </w:p>
        </w:tc>
      </w:tr>
      <w:tr>
        <w:trPr>
          <w:cantSplit/>
        </w:trPr>
        <w:tc>
          <w:tcPr>
            <w:tcW w:type="dxa" w:w="2520"/>
            <w:shd w:fill="1E4A32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Identità storica</w:t>
            </w:r>
          </w:p>
        </w:tc>
        <w:tc>
          <w:tcPr>
            <w:tcW w:type="dxa" w:w="7416"/>
            <w:shd w:fill="F3F0E7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color w:val="222222"/>
                <w:sz w:val="17"/>
              </w:rPr>
              <w:t>Aranceto e proprietà agricola organizzata in filari e comparti</w:t>
            </w:r>
          </w:p>
        </w:tc>
      </w:tr>
      <w:tr>
        <w:trPr>
          <w:cantSplit/>
        </w:trPr>
        <w:tc>
          <w:tcPr>
            <w:tcW w:type="dxa" w:w="2520"/>
            <w:shd w:fill="1E4A32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Obiettivo della famiglia</w:t>
            </w:r>
          </w:p>
        </w:tc>
        <w:tc>
          <w:tcPr>
            <w:tcW w:type="dxa" w:w="7416"/>
            <w:shd w:fill="FFFFFF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color w:val="222222"/>
                <w:sz w:val="17"/>
              </w:rPr>
              <w:t>Mantenere la proprietà e individuare un partner capace di investire, recuperare e gestire</w:t>
            </w:r>
          </w:p>
        </w:tc>
      </w:tr>
      <w:tr>
        <w:trPr>
          <w:cantSplit/>
        </w:trPr>
        <w:tc>
          <w:tcPr>
            <w:tcW w:type="dxa" w:w="2520"/>
            <w:shd w:fill="1E4A32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Partner prioritari</w:t>
            </w:r>
          </w:p>
        </w:tc>
        <w:tc>
          <w:tcPr>
            <w:tcW w:type="dxa" w:w="7416"/>
            <w:shd w:fill="F3F0E7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color w:val="222222"/>
                <w:sz w:val="17"/>
              </w:rPr>
              <w:t>Operatori agricoli e serricoli, operatori-investitori, cooperative sociali, enti di ricerca e operatori rurali</w:t>
            </w:r>
          </w:p>
        </w:tc>
      </w:tr>
      <w:tr>
        <w:trPr>
          <w:cantSplit/>
        </w:trPr>
        <w:tc>
          <w:tcPr>
            <w:tcW w:type="dxa" w:w="2520"/>
            <w:shd w:fill="1E4A32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9" w:lineRule="auto"/>
            </w:pPr>
            <w:r>
              <w:rPr>
                <w:rFonts w:ascii="Inter Display" w:hAnsi="Inter Display" w:eastAsia="Inter Display"/>
                <w:b/>
                <w:color w:val="FFFFFF"/>
                <w:sz w:val="16"/>
              </w:rPr>
              <w:t>Stato del dossier</w:t>
            </w:r>
          </w:p>
        </w:tc>
        <w:tc>
          <w:tcPr>
            <w:tcW w:type="dxa" w:w="7416"/>
            <w:shd w:fill="FFFFFF"/>
            <w:tcMar>
              <w:top w:w="105" w:type="dxa"/>
              <w:start w:w="110" w:type="dxa"/>
              <w:bottom w:w="105" w:type="dxa"/>
              <w:end w:w="110" w:type="dxa"/>
            </w:tcMar>
          </w:tcPr>
          <w:p>
            <w:pPr>
              <w:keepNext w:val="0"/>
              <w:spacing w:before="0" w:after="0" w:line="257" w:lineRule="auto"/>
            </w:pPr>
            <w:r>
              <w:rPr>
                <w:rFonts w:ascii="Lato" w:hAnsi="Lato" w:eastAsia="Lato"/>
                <w:color w:val="222222"/>
                <w:sz w:val="17"/>
              </w:rPr>
              <w:t>Preliminare; non sostituisce documentazione catastale, tecnica, urbanistica, agronomica o legale</w:t>
            </w:r>
          </w:p>
        </w:tc>
      </w:tr>
    </w:tbl>
    <w:p>
      <w:pPr>
        <w:keepNext w:val="0"/>
        <w:spacing w:before="40" w:after="4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355080" cy="310692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mparison_2004_2025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1069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40" w:after="120" w:line="240" w:lineRule="auto"/>
        <w:jc w:val="center"/>
      </w:pPr>
      <w:r>
        <w:rPr>
          <w:rFonts w:ascii="Lato" w:hAnsi="Lato" w:eastAsia="Lato"/>
          <w:i/>
          <w:color w:val="6B6B63"/>
          <w:sz w:val="15"/>
        </w:rPr>
        <w:t>Confronto indicativo tra immagini del 2004 e del 2025. L’area mantiene una forte leggibilità agricola, pur mostrando cambiamenti nell’intensità e nella distribuzione dei filari.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rPr>
          <w:cantSplit/>
        </w:trPr>
        <w:tc>
          <w:tcPr>
            <w:tcW w:type="dxa" w:w="10148"/>
            <w:shd w:fill="183824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keepNext w:val="0"/>
              <w:spacing w:before="0" w:after="100" w:line="259" w:lineRule="auto"/>
              <w:jc w:val="center"/>
            </w:pPr>
            <w:r>
              <w:rPr>
                <w:rFonts w:ascii="Inter Display" w:hAnsi="Inter Display" w:eastAsia="Inter Display"/>
                <w:b/>
                <w:color w:val="C99A45"/>
                <w:sz w:val="20"/>
              </w:rPr>
              <w:t>CONTATTO DI PROGETTO</w:t>
            </w:r>
          </w:p>
          <w:p>
            <w:pPr>
              <w:keepNext w:val="0"/>
              <w:spacing w:before="0" w:after="40" w:line="259" w:lineRule="auto"/>
              <w:jc w:val="center"/>
            </w:pPr>
            <w:r>
              <w:rPr>
                <w:rFonts w:ascii="Lato" w:hAnsi="Lato" w:eastAsia="Lato"/>
                <w:b/>
                <w:color w:val="FFFFFF"/>
                <w:sz w:val="20"/>
              </w:rPr>
              <w:t>[Nome e ruolo da completare]</w:t>
            </w:r>
          </w:p>
          <w:p>
            <w:pPr>
              <w:keepNext w:val="0"/>
              <w:spacing w:before="0" w:after="0" w:line="259" w:lineRule="auto"/>
              <w:jc w:val="center"/>
            </w:pPr>
            <w:r>
              <w:rPr>
                <w:rFonts w:ascii="Lato" w:hAnsi="Lato" w:eastAsia="Lato"/>
                <w:color w:val="FFFFFF"/>
                <w:sz w:val="18"/>
              </w:rPr>
              <w:t>[Email]  |  [Telefono]  |  [Sito web]</w:t>
            </w:r>
          </w:p>
        </w:tc>
      </w:tr>
    </w:tbl>
    <w:p>
      <w:pPr>
        <w:keepNext w:val="0"/>
        <w:spacing w:before="160" w:after="0" w:line="252" w:lineRule="auto"/>
        <w:jc w:val="both"/>
      </w:pPr>
      <w:r>
        <w:rPr>
          <w:rFonts w:ascii="Lato" w:hAnsi="Lato" w:eastAsia="Lato"/>
          <w:b/>
          <w:color w:val="6B6B63"/>
          <w:sz w:val="15"/>
        </w:rPr>
        <w:t xml:space="preserve">Avvertenza: </w:t>
      </w:r>
      <w:r>
        <w:rPr>
          <w:rFonts w:ascii="Lato" w:hAnsi="Lato" w:eastAsia="Lato"/>
          <w:i/>
          <w:color w:val="6B6B63"/>
          <w:sz w:val="15"/>
        </w:rPr>
        <w:t>questo documento è una presentazione preliminare basata su informazioni comunicate dal referente del progetto e su immagini Google Earth fornite dall’utente. Non costituisce proposta contrattuale, offerta al pubblico, perizia, visura, rilievo, certificazione, verifica urbanistica, catastale, agronomica, ambientale o autorizzativa. Superfici, confini, fabbricati, serre, pozzi, accessi e impianti devono essere confermati da documenti ufficiali e professionisti abilitati.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22" w:right="879" w:bottom="765" w:left="879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3888"/>
      <w:gridCol w:w="4896"/>
      <w:gridCol w:w="1152"/>
    </w:tblGrid>
    <w:tr>
      <w:tc>
        <w:tcPr>
          <w:tcW w:type="dxa" w:w="3312"/>
          <w:tcMar>
            <w:top w:w="0" w:type="dxa"/>
            <w:start w:w="0" w:type="dxa"/>
            <w:bottom w:w="0" w:type="dxa"/>
            <w:end w:w="0" w:type="dxa"/>
          </w:tcMar>
          <w:tcBorders>
            <w:top w:sz="4" w:val="single" w:color="B8B5AA"/>
          </w:tcBorders>
        </w:tcPr>
        <w:p>
          <w:pPr>
            <w:keepNext w:val="0"/>
            <w:spacing w:before="40" w:after="0" w:line="259" w:lineRule="auto"/>
          </w:pPr>
          <w:r>
            <w:rPr>
              <w:rFonts w:ascii="Lato" w:hAnsi="Lato" w:eastAsia="Lato"/>
              <w:color w:val="6B6B63"/>
              <w:sz w:val="15"/>
            </w:rPr>
            <w:t>Dossier preliminare | Luglio 2026</w:t>
          </w:r>
        </w:p>
      </w:tc>
      <w:tc>
        <w:tcPr>
          <w:tcW w:type="dxa" w:w="3312"/>
          <w:tcMar>
            <w:top w:w="0" w:type="dxa"/>
            <w:start w:w="0" w:type="dxa"/>
            <w:bottom w:w="0" w:type="dxa"/>
            <w:end w:w="0" w:type="dxa"/>
          </w:tcMar>
          <w:tcBorders>
            <w:top w:sz="4" w:val="single" w:color="B8B5AA"/>
          </w:tcBorders>
        </w:tcPr>
        <w:p>
          <w:pPr>
            <w:keepNext w:val="0"/>
            <w:spacing w:before="40" w:after="0" w:line="259" w:lineRule="auto"/>
            <w:jc w:val="center"/>
          </w:pPr>
          <w:r>
            <w:rPr>
              <w:rFonts w:ascii="Lato" w:hAnsi="Lato" w:eastAsia="Lato"/>
              <w:i/>
              <w:color w:val="6B6B63"/>
              <w:sz w:val="14"/>
            </w:rPr>
            <w:t>Non costituisce offerta, perizia o documento catastale</w:t>
          </w:r>
        </w:p>
      </w:tc>
      <w:tc>
        <w:tcPr>
          <w:tcW w:type="dxa" w:w="3312"/>
          <w:tcMar>
            <w:top w:w="0" w:type="dxa"/>
            <w:start w:w="0" w:type="dxa"/>
            <w:bottom w:w="0" w:type="dxa"/>
            <w:end w:w="0" w:type="dxa"/>
          </w:tcMar>
          <w:tcBorders>
            <w:top w:sz="4" w:val="single" w:color="B8B5AA"/>
          </w:tcBorders>
        </w:tcPr>
        <w:p>
          <w:pPr>
            <w:keepNext w:val="0"/>
            <w:spacing w:before="40" w:after="0" w:line="259" w:lineRule="auto"/>
            <w:jc w:val="right"/>
          </w:pPr>
          <w:r>
            <w:rPr>
              <w:rFonts w:ascii="Lato" w:hAnsi="Lato" w:eastAsia="Lato"/>
              <w:color w:val="6B6B63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59" w:lineRule="auto"/>
      <w:jc w:val="left"/>
    </w:pPr>
    <w:r>
      <w:rPr>
        <w:rFonts w:ascii="Inter Display" w:hAnsi="Inter Display" w:eastAsia="Inter Display"/>
        <w:b/>
        <w:color w:val="1E4A32"/>
        <w:sz w:val="17"/>
      </w:rPr>
      <w:t>ARANCETO ZUDDAS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Lato" w:hAnsi="Lato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nter Display" w:hAnsi="Inter Display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nter Display" w:hAnsi="Inter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Inter Display" w:hAnsi="Inter Display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Inter Display" w:hAnsi="Inter Display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Aranceto Zuddas - Dossier preliminare di presentazione</dc:title>
  <dc:subject>Presentazione professionale preliminare della proprietà agricola</dc:subject>
  <dc:creator>Eddie Jaeger / Birthbaum Inc. - bozza di lavoro</dc:creator>
  <cp:keywords>Aranceto Zuddas, Decimomannu, Sardegna, proprietà agricola, partner operativo</cp:keywords>
  <dc:description>Documento preliminare basato su informazioni e immagini fornite dal committente.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